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506" w:rsidRDefault="002B42F4" w:rsidP="00547E28">
      <w:pPr>
        <w:pStyle w:val="CommentText"/>
        <w:ind w:right="43"/>
        <w:rPr>
          <w:noProof/>
          <w:szCs w:val="24"/>
          <w:lang w:val="en-US"/>
        </w:rPr>
      </w:pPr>
      <w:r>
        <w:rPr>
          <w:noProof/>
          <w:szCs w:val="24"/>
          <w:lang w:eastAsia="en-GB"/>
        </w:rPr>
        <mc:AlternateContent>
          <mc:Choice Requires="wps">
            <w:drawing>
              <wp:anchor distT="0" distB="0" distL="114300" distR="114300" simplePos="0" relativeHeight="251657728" behindDoc="0" locked="0" layoutInCell="1" allowOverlap="1">
                <wp:simplePos x="0" y="0"/>
                <wp:positionH relativeFrom="column">
                  <wp:posOffset>5029200</wp:posOffset>
                </wp:positionH>
                <wp:positionV relativeFrom="paragraph">
                  <wp:posOffset>-683895</wp:posOffset>
                </wp:positionV>
                <wp:extent cx="1143000" cy="1485900"/>
                <wp:effectExtent l="0" t="190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0506" w:rsidRDefault="002B42F4">
                            <w:r>
                              <w:rPr>
                                <w:noProof/>
                                <w:lang w:eastAsia="en-GB"/>
                              </w:rPr>
                              <w:drawing>
                                <wp:inline distT="0" distB="0" distL="0" distR="0">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" stroked="f">
                <v:textbox>
                  <w:txbxContent>
                    <w:p w:rsidR="00840506" w:rsidRDefault="002B42F4">
                      <w:r>
                        <w:rPr>
                          <w:noProof/>
                          <w:lang w:eastAsia="en-GB"/>
                        </w:rPr>
                        <w:drawing>
                          <wp:inline distT="0" distB="0" distL="0" distR="0">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v:textbox>
              </v:shape>
            </w:pict>
          </mc:Fallback>
        </mc:AlternateContent>
      </w:r>
    </w:p>
    <w:p w:rsidR="00840506" w:rsidRDefault="00840506" w:rsidP="00547E28">
      <w:pPr>
        <w:ind w:right="43"/>
        <w:jc w:val="right"/>
        <w:rPr>
          <w:b/>
          <w:bCs/>
        </w:rPr>
      </w:pPr>
    </w:p>
    <w:p w:rsidR="00840506" w:rsidRDefault="00840506" w:rsidP="00547E28">
      <w:pPr>
        <w:ind w:right="43"/>
        <w:jc w:val="right"/>
      </w:pPr>
    </w:p>
    <w:p w:rsidR="00840506" w:rsidRDefault="00840506" w:rsidP="00547E28">
      <w:pPr>
        <w:tabs>
          <w:tab w:val="left" w:pos="2160"/>
        </w:tabs>
        <w:ind w:right="43"/>
        <w:rPr>
          <w:b/>
          <w:bCs/>
        </w:rPr>
      </w:pPr>
    </w:p>
    <w:p w:rsidR="00840506" w:rsidRDefault="00840506" w:rsidP="00547E28">
      <w:pPr>
        <w:tabs>
          <w:tab w:val="left" w:pos="2160"/>
        </w:tabs>
        <w:ind w:right="43"/>
        <w:rPr>
          <w:b/>
          <w:bCs/>
        </w:rPr>
      </w:pPr>
      <w:r>
        <w:rPr>
          <w:b/>
          <w:bCs/>
        </w:rPr>
        <w:t>To:</w:t>
      </w:r>
      <w:r>
        <w:rPr>
          <w:b/>
          <w:bCs/>
        </w:rPr>
        <w:tab/>
      </w:r>
      <w:r w:rsidR="00547E28">
        <w:rPr>
          <w:b/>
          <w:bCs/>
        </w:rPr>
        <w:t>Audit and Governance Committee</w:t>
      </w:r>
    </w:p>
    <w:p w:rsidR="00840506" w:rsidRDefault="00840506" w:rsidP="00547E28">
      <w:pPr>
        <w:ind w:right="43"/>
        <w:rPr>
          <w:b/>
          <w:bCs/>
        </w:rPr>
      </w:pPr>
    </w:p>
    <w:p w:rsidR="00840506" w:rsidRDefault="00547E28" w:rsidP="00547E28">
      <w:pPr>
        <w:tabs>
          <w:tab w:val="left" w:pos="2160"/>
          <w:tab w:val="left" w:pos="6300"/>
          <w:tab w:val="left" w:pos="7380"/>
        </w:tabs>
        <w:ind w:right="43"/>
        <w:rPr>
          <w:b/>
          <w:bCs/>
        </w:rPr>
      </w:pPr>
      <w:r>
        <w:rPr>
          <w:b/>
          <w:bCs/>
        </w:rPr>
        <w:t>Date:</w:t>
      </w:r>
      <w:r>
        <w:rPr>
          <w:b/>
          <w:bCs/>
        </w:rPr>
        <w:tab/>
      </w:r>
      <w:r w:rsidR="005C2AE5">
        <w:rPr>
          <w:b/>
          <w:bCs/>
        </w:rPr>
        <w:t>2</w:t>
      </w:r>
      <w:r w:rsidR="00577A67">
        <w:rPr>
          <w:b/>
          <w:bCs/>
        </w:rPr>
        <w:t>4</w:t>
      </w:r>
      <w:r w:rsidR="005C2AE5">
        <w:rPr>
          <w:b/>
          <w:bCs/>
        </w:rPr>
        <w:t xml:space="preserve"> </w:t>
      </w:r>
      <w:r w:rsidR="00F16E82">
        <w:rPr>
          <w:b/>
          <w:bCs/>
        </w:rPr>
        <w:t>July 201</w:t>
      </w:r>
      <w:r w:rsidR="00577A67">
        <w:rPr>
          <w:b/>
          <w:bCs/>
        </w:rPr>
        <w:t>9</w:t>
      </w:r>
      <w:r w:rsidR="00840506">
        <w:rPr>
          <w:b/>
          <w:bCs/>
        </w:rPr>
        <w:tab/>
      </w:r>
    </w:p>
    <w:p w:rsidR="00840506" w:rsidRDefault="00840506" w:rsidP="00547E28">
      <w:pPr>
        <w:ind w:right="43"/>
        <w:jc w:val="right"/>
        <w:rPr>
          <w:b/>
          <w:bCs/>
        </w:rPr>
      </w:pPr>
    </w:p>
    <w:p w:rsidR="00840506" w:rsidRDefault="00840506" w:rsidP="00547E28">
      <w:pPr>
        <w:tabs>
          <w:tab w:val="left" w:pos="2127"/>
        </w:tabs>
        <w:ind w:right="43"/>
        <w:rPr>
          <w:b/>
          <w:bCs/>
        </w:rPr>
      </w:pPr>
      <w:r>
        <w:rPr>
          <w:b/>
          <w:bCs/>
        </w:rPr>
        <w:t>Report of:</w:t>
      </w:r>
      <w:r>
        <w:rPr>
          <w:b/>
          <w:bCs/>
        </w:rPr>
        <w:tab/>
      </w:r>
      <w:r w:rsidR="00E23D50">
        <w:rPr>
          <w:b/>
          <w:bCs/>
        </w:rPr>
        <w:t>Head of Financial Services</w:t>
      </w:r>
    </w:p>
    <w:p w:rsidR="00840506" w:rsidRDefault="00840506" w:rsidP="00547E28">
      <w:pPr>
        <w:tabs>
          <w:tab w:val="left" w:pos="2160"/>
        </w:tabs>
        <w:ind w:right="43"/>
        <w:rPr>
          <w:b/>
          <w:bCs/>
        </w:rPr>
      </w:pPr>
    </w:p>
    <w:p w:rsidR="00840506" w:rsidRDefault="00840506" w:rsidP="00547E28">
      <w:pPr>
        <w:tabs>
          <w:tab w:val="left" w:pos="2160"/>
        </w:tabs>
        <w:ind w:left="2127" w:right="43" w:hanging="2127"/>
        <w:rPr>
          <w:b/>
          <w:bCs/>
        </w:rPr>
      </w:pPr>
      <w:r>
        <w:rPr>
          <w:b/>
          <w:bCs/>
        </w:rPr>
        <w:t xml:space="preserve">Title of Report: </w:t>
      </w:r>
      <w:r>
        <w:rPr>
          <w:b/>
          <w:bCs/>
        </w:rPr>
        <w:tab/>
      </w:r>
      <w:r w:rsidR="00547E28">
        <w:rPr>
          <w:b/>
          <w:bCs/>
        </w:rPr>
        <w:t>Statement of Accounts for the Year Ending 31</w:t>
      </w:r>
      <w:r w:rsidR="00547E28" w:rsidRPr="00547E28">
        <w:rPr>
          <w:b/>
          <w:bCs/>
          <w:vertAlign w:val="superscript"/>
        </w:rPr>
        <w:t>st</w:t>
      </w:r>
      <w:r w:rsidR="00547E28">
        <w:rPr>
          <w:b/>
          <w:bCs/>
        </w:rPr>
        <w:t xml:space="preserve"> March 201</w:t>
      </w:r>
      <w:r w:rsidR="00577A67">
        <w:rPr>
          <w:b/>
          <w:bCs/>
        </w:rPr>
        <w:t>9</w:t>
      </w:r>
    </w:p>
    <w:p w:rsidR="00840506" w:rsidRDefault="00840506" w:rsidP="00547E28">
      <w:pPr>
        <w:ind w:right="43"/>
        <w:jc w:val="center"/>
        <w:rPr>
          <w:b/>
          <w:bCs/>
        </w:rPr>
      </w:pPr>
    </w:p>
    <w:p w:rsidR="00840506" w:rsidRDefault="00840506" w:rsidP="00547E28">
      <w:pPr>
        <w:pStyle w:val="Heading1"/>
        <w:pBdr>
          <w:top w:val="single" w:sz="4" w:space="1" w:color="auto"/>
          <w:left w:val="single" w:sz="4" w:space="4" w:color="auto"/>
          <w:bottom w:val="single" w:sz="4" w:space="1" w:color="auto"/>
          <w:right w:val="single" w:sz="4" w:space="4" w:color="auto"/>
        </w:pBdr>
        <w:ind w:right="43"/>
        <w:jc w:val="center"/>
        <w:rPr>
          <w:u w:val="single"/>
        </w:rPr>
      </w:pPr>
    </w:p>
    <w:p w:rsidR="00840506" w:rsidRDefault="00840506" w:rsidP="00547E28">
      <w:pPr>
        <w:pStyle w:val="Heading1"/>
        <w:pBdr>
          <w:top w:val="single" w:sz="4" w:space="1" w:color="auto"/>
          <w:left w:val="single" w:sz="4" w:space="4" w:color="auto"/>
          <w:bottom w:val="single" w:sz="4" w:space="1" w:color="auto"/>
          <w:right w:val="single" w:sz="4" w:space="4" w:color="auto"/>
        </w:pBdr>
        <w:ind w:right="43"/>
        <w:jc w:val="center"/>
        <w:rPr>
          <w:u w:val="single"/>
        </w:rPr>
      </w:pPr>
      <w:r>
        <w:rPr>
          <w:u w:val="single"/>
        </w:rPr>
        <w:t>Summary and Recommendations</w:t>
      </w:r>
    </w:p>
    <w:p w:rsidR="00840506" w:rsidRDefault="00840506" w:rsidP="00547E28">
      <w:pPr>
        <w:pBdr>
          <w:top w:val="single" w:sz="4" w:space="1" w:color="auto"/>
          <w:left w:val="single" w:sz="4" w:space="4" w:color="auto"/>
          <w:bottom w:val="single" w:sz="4" w:space="1" w:color="auto"/>
          <w:right w:val="single" w:sz="4" w:space="4" w:color="auto"/>
        </w:pBdr>
        <w:ind w:right="43"/>
      </w:pPr>
    </w:p>
    <w:p w:rsidR="00840506" w:rsidRDefault="00840506" w:rsidP="00547E28">
      <w:pPr>
        <w:pBdr>
          <w:top w:val="single" w:sz="4" w:space="1" w:color="auto"/>
          <w:left w:val="single" w:sz="4" w:space="4" w:color="auto"/>
          <w:bottom w:val="single" w:sz="4" w:space="1" w:color="auto"/>
          <w:right w:val="single" w:sz="4" w:space="4" w:color="auto"/>
        </w:pBdr>
        <w:ind w:right="43"/>
      </w:pPr>
    </w:p>
    <w:p w:rsidR="00E60879" w:rsidRDefault="00840506" w:rsidP="00E60879">
      <w:pPr>
        <w:pBdr>
          <w:top w:val="single" w:sz="4" w:space="1" w:color="auto"/>
          <w:left w:val="single" w:sz="4" w:space="4" w:color="auto"/>
          <w:bottom w:val="single" w:sz="4" w:space="1" w:color="auto"/>
          <w:right w:val="single" w:sz="4" w:space="4" w:color="auto"/>
        </w:pBdr>
        <w:ind w:left="2835" w:right="43" w:hanging="2835"/>
      </w:pPr>
      <w:r>
        <w:rPr>
          <w:b/>
          <w:bCs/>
        </w:rPr>
        <w:t>Purpose of report</w:t>
      </w:r>
      <w:r>
        <w:t xml:space="preserve">:  </w:t>
      </w:r>
      <w:r>
        <w:tab/>
      </w:r>
      <w:r w:rsidR="005C2AE5" w:rsidRPr="005C2AE5">
        <w:t>To submit the Council’s Statement of Accounts and Letter of Representation for approval and authorisation.</w:t>
      </w:r>
    </w:p>
    <w:p w:rsidR="00840506" w:rsidRDefault="00840506" w:rsidP="00E60879">
      <w:pPr>
        <w:pBdr>
          <w:top w:val="single" w:sz="4" w:space="1" w:color="auto"/>
          <w:left w:val="single" w:sz="4" w:space="4" w:color="auto"/>
          <w:bottom w:val="single" w:sz="4" w:space="1" w:color="auto"/>
          <w:right w:val="single" w:sz="4" w:space="4" w:color="auto"/>
        </w:pBdr>
        <w:ind w:left="2835" w:right="43" w:hanging="2835"/>
      </w:pPr>
    </w:p>
    <w:p w:rsidR="00840506" w:rsidRDefault="00E60879" w:rsidP="00547E28">
      <w:pPr>
        <w:pBdr>
          <w:top w:val="single" w:sz="4" w:space="1" w:color="auto"/>
          <w:left w:val="single" w:sz="4" w:space="4" w:color="auto"/>
          <w:bottom w:val="single" w:sz="4" w:space="1" w:color="auto"/>
          <w:right w:val="single" w:sz="4" w:space="4" w:color="auto"/>
        </w:pBdr>
        <w:ind w:right="43"/>
        <w:rPr>
          <w:b/>
          <w:bCs/>
        </w:rPr>
      </w:pPr>
      <w:r>
        <w:rPr>
          <w:b/>
          <w:bCs/>
        </w:rPr>
        <w:t>Key Decision</w:t>
      </w:r>
      <w:r w:rsidR="00547E28">
        <w:rPr>
          <w:b/>
          <w:bCs/>
        </w:rPr>
        <w:tab/>
      </w:r>
      <w:r>
        <w:rPr>
          <w:b/>
          <w:bCs/>
        </w:rPr>
        <w:tab/>
        <w:t>No</w:t>
      </w:r>
    </w:p>
    <w:p w:rsidR="00E60879" w:rsidRDefault="00E60879" w:rsidP="00547E28">
      <w:pPr>
        <w:pBdr>
          <w:top w:val="single" w:sz="4" w:space="1" w:color="auto"/>
          <w:left w:val="single" w:sz="4" w:space="4" w:color="auto"/>
          <w:bottom w:val="single" w:sz="4" w:space="1" w:color="auto"/>
          <w:right w:val="single" w:sz="4" w:space="4" w:color="auto"/>
        </w:pBdr>
        <w:ind w:right="43"/>
        <w:rPr>
          <w:b/>
          <w:bCs/>
        </w:rPr>
      </w:pPr>
    </w:p>
    <w:p w:rsidR="00E60879" w:rsidRDefault="00E60879" w:rsidP="00547E28">
      <w:pPr>
        <w:pBdr>
          <w:top w:val="single" w:sz="4" w:space="1" w:color="auto"/>
          <w:left w:val="single" w:sz="4" w:space="4" w:color="auto"/>
          <w:bottom w:val="single" w:sz="4" w:space="1" w:color="auto"/>
          <w:right w:val="single" w:sz="4" w:space="4" w:color="auto"/>
        </w:pBdr>
        <w:ind w:right="43"/>
        <w:rPr>
          <w:b/>
          <w:bCs/>
        </w:rPr>
      </w:pPr>
      <w:r>
        <w:rPr>
          <w:b/>
          <w:bCs/>
        </w:rPr>
        <w:t>Executive lead member</w:t>
      </w:r>
      <w:r>
        <w:rPr>
          <w:b/>
          <w:bCs/>
        </w:rPr>
        <w:tab/>
        <w:t>Councillor Ed Turner</w:t>
      </w:r>
    </w:p>
    <w:p w:rsidR="00840506" w:rsidRDefault="00840506" w:rsidP="00547E28">
      <w:pPr>
        <w:pBdr>
          <w:top w:val="single" w:sz="4" w:space="1" w:color="auto"/>
          <w:left w:val="single" w:sz="4" w:space="4" w:color="auto"/>
          <w:bottom w:val="single" w:sz="4" w:space="1" w:color="auto"/>
          <w:right w:val="single" w:sz="4" w:space="4" w:color="auto"/>
        </w:pBdr>
        <w:ind w:right="43"/>
        <w:rPr>
          <w:b/>
          <w:bCs/>
        </w:rPr>
      </w:pPr>
    </w:p>
    <w:p w:rsidR="00840506" w:rsidRDefault="00E60879" w:rsidP="00547E28">
      <w:pPr>
        <w:pBdr>
          <w:top w:val="single" w:sz="4" w:space="1" w:color="auto"/>
          <w:left w:val="single" w:sz="4" w:space="4" w:color="auto"/>
          <w:bottom w:val="single" w:sz="4" w:space="1" w:color="auto"/>
          <w:right w:val="single" w:sz="4" w:space="4" w:color="auto"/>
        </w:pBdr>
        <w:ind w:right="43"/>
        <w:rPr>
          <w:b/>
          <w:bCs/>
        </w:rPr>
      </w:pPr>
      <w:r>
        <w:rPr>
          <w:b/>
          <w:bCs/>
        </w:rPr>
        <w:t>Policy Framework:</w:t>
      </w:r>
      <w:r>
        <w:rPr>
          <w:b/>
          <w:bCs/>
        </w:rPr>
        <w:tab/>
      </w:r>
      <w:r>
        <w:rPr>
          <w:b/>
          <w:bCs/>
        </w:rPr>
        <w:tab/>
      </w:r>
      <w:r w:rsidR="005C2AE5" w:rsidRPr="005C2AE5">
        <w:rPr>
          <w:b/>
          <w:bCs/>
        </w:rPr>
        <w:t xml:space="preserve">Efficient and </w:t>
      </w:r>
      <w:r w:rsidR="005C2AE5">
        <w:rPr>
          <w:b/>
          <w:bCs/>
        </w:rPr>
        <w:t>E</w:t>
      </w:r>
      <w:r w:rsidR="005C2AE5" w:rsidRPr="005C2AE5">
        <w:rPr>
          <w:b/>
          <w:bCs/>
        </w:rPr>
        <w:t>ffective Council</w:t>
      </w:r>
    </w:p>
    <w:p w:rsidR="00840506" w:rsidRDefault="00840506" w:rsidP="00547E28">
      <w:pPr>
        <w:pStyle w:val="Heading1"/>
        <w:pBdr>
          <w:top w:val="single" w:sz="4" w:space="1" w:color="auto"/>
          <w:left w:val="single" w:sz="4" w:space="4" w:color="auto"/>
          <w:bottom w:val="single" w:sz="4" w:space="1" w:color="auto"/>
          <w:right w:val="single" w:sz="4" w:space="4" w:color="auto"/>
        </w:pBdr>
        <w:ind w:right="43"/>
      </w:pPr>
    </w:p>
    <w:p w:rsidR="005C2AE5" w:rsidRDefault="00840506" w:rsidP="00E60879">
      <w:pPr>
        <w:pBdr>
          <w:top w:val="single" w:sz="4" w:space="1" w:color="auto"/>
          <w:left w:val="single" w:sz="4" w:space="4" w:color="auto"/>
          <w:bottom w:val="single" w:sz="4" w:space="1" w:color="auto"/>
          <w:right w:val="single" w:sz="4" w:space="4" w:color="auto"/>
        </w:pBdr>
        <w:tabs>
          <w:tab w:val="left" w:pos="2835"/>
        </w:tabs>
        <w:ind w:left="2835" w:right="43" w:hanging="2835"/>
        <w:rPr>
          <w:b/>
        </w:rPr>
      </w:pPr>
      <w:r>
        <w:rPr>
          <w:b/>
        </w:rPr>
        <w:t xml:space="preserve">Recommendation(s): </w:t>
      </w:r>
      <w:r>
        <w:rPr>
          <w:b/>
        </w:rPr>
        <w:tab/>
      </w:r>
      <w:r w:rsidR="00E60879">
        <w:rPr>
          <w:b/>
        </w:rPr>
        <w:t>That the Committee</w:t>
      </w:r>
      <w:r w:rsidR="005C2AE5">
        <w:rPr>
          <w:b/>
        </w:rPr>
        <w:t>:</w:t>
      </w:r>
    </w:p>
    <w:p w:rsidR="005C2AE5" w:rsidRDefault="005C2AE5" w:rsidP="00E60879">
      <w:pPr>
        <w:pBdr>
          <w:top w:val="single" w:sz="4" w:space="1" w:color="auto"/>
          <w:left w:val="single" w:sz="4" w:space="4" w:color="auto"/>
          <w:bottom w:val="single" w:sz="4" w:space="1" w:color="auto"/>
          <w:right w:val="single" w:sz="4" w:space="4" w:color="auto"/>
        </w:pBdr>
        <w:tabs>
          <w:tab w:val="left" w:pos="2835"/>
        </w:tabs>
        <w:ind w:left="2835" w:right="43" w:hanging="2835"/>
        <w:rPr>
          <w:b/>
        </w:rPr>
      </w:pPr>
    </w:p>
    <w:p w:rsidR="006A5C71" w:rsidRDefault="005C2AE5" w:rsidP="002D3151">
      <w:pPr>
        <w:pBdr>
          <w:top w:val="single" w:sz="4" w:space="1" w:color="auto"/>
          <w:left w:val="single" w:sz="4" w:space="4" w:color="auto"/>
          <w:bottom w:val="single" w:sz="4" w:space="1" w:color="auto"/>
          <w:right w:val="single" w:sz="4" w:space="4" w:color="auto"/>
        </w:pBdr>
        <w:tabs>
          <w:tab w:val="left" w:pos="851"/>
        </w:tabs>
        <w:ind w:left="851" w:right="43" w:hanging="851"/>
        <w:rPr>
          <w:b/>
        </w:rPr>
      </w:pPr>
      <w:r w:rsidRPr="005C2AE5">
        <w:rPr>
          <w:b/>
        </w:rPr>
        <w:t>a)</w:t>
      </w:r>
      <w:r>
        <w:rPr>
          <w:b/>
        </w:rPr>
        <w:tab/>
      </w:r>
      <w:r w:rsidRPr="005C2AE5">
        <w:rPr>
          <w:b/>
        </w:rPr>
        <w:t>Approve the audited 201</w:t>
      </w:r>
      <w:r w:rsidR="00577A67">
        <w:rPr>
          <w:b/>
        </w:rPr>
        <w:t>8</w:t>
      </w:r>
      <w:r w:rsidRPr="005C2AE5">
        <w:rPr>
          <w:b/>
        </w:rPr>
        <w:t>/1</w:t>
      </w:r>
      <w:r w:rsidR="00577A67">
        <w:rPr>
          <w:b/>
        </w:rPr>
        <w:t>9</w:t>
      </w:r>
      <w:r w:rsidRPr="005C2AE5">
        <w:rPr>
          <w:b/>
        </w:rPr>
        <w:t xml:space="preserve"> Statement of Accounts as certified by the Head of Financial Services and authorise the Chair of the Committee to sign the Accounts</w:t>
      </w:r>
    </w:p>
    <w:p w:rsidR="005C2AE5" w:rsidRDefault="005C2AE5" w:rsidP="002D3151">
      <w:pPr>
        <w:pBdr>
          <w:top w:val="single" w:sz="4" w:space="1" w:color="auto"/>
          <w:left w:val="single" w:sz="4" w:space="4" w:color="auto"/>
          <w:bottom w:val="single" w:sz="4" w:space="1" w:color="auto"/>
          <w:right w:val="single" w:sz="4" w:space="4" w:color="auto"/>
        </w:pBdr>
        <w:tabs>
          <w:tab w:val="left" w:pos="851"/>
        </w:tabs>
        <w:ind w:left="851" w:right="43" w:hanging="851"/>
        <w:rPr>
          <w:b/>
        </w:rPr>
      </w:pPr>
      <w:r>
        <w:rPr>
          <w:b/>
        </w:rPr>
        <w:t>b)</w:t>
      </w:r>
      <w:r>
        <w:rPr>
          <w:b/>
        </w:rPr>
        <w:tab/>
      </w:r>
      <w:r w:rsidRPr="005C2AE5">
        <w:rPr>
          <w:b/>
        </w:rPr>
        <w:t xml:space="preserve">Approve the Letter of Representation to enable the opinion to be </w:t>
      </w:r>
      <w:r w:rsidRPr="008D7861">
        <w:rPr>
          <w:b/>
        </w:rPr>
        <w:t>issued</w:t>
      </w:r>
      <w:r w:rsidR="00DC4421" w:rsidRPr="008D7861">
        <w:rPr>
          <w:b/>
        </w:rPr>
        <w:t xml:space="preserve"> (paragr</w:t>
      </w:r>
      <w:r w:rsidR="008D7861" w:rsidRPr="008D7861">
        <w:rPr>
          <w:b/>
        </w:rPr>
        <w:t xml:space="preserve">aph </w:t>
      </w:r>
      <w:r w:rsidR="003333C5">
        <w:rPr>
          <w:b/>
        </w:rPr>
        <w:t>32</w:t>
      </w:r>
      <w:r w:rsidR="00DC4421" w:rsidRPr="008D7861">
        <w:rPr>
          <w:b/>
        </w:rPr>
        <w:t>)</w:t>
      </w:r>
    </w:p>
    <w:p w:rsidR="00840506" w:rsidRDefault="006A5C71" w:rsidP="002B42F4">
      <w:pPr>
        <w:pBdr>
          <w:top w:val="single" w:sz="4" w:space="1" w:color="auto"/>
          <w:left w:val="single" w:sz="4" w:space="4" w:color="auto"/>
          <w:bottom w:val="single" w:sz="4" w:space="1" w:color="auto"/>
          <w:right w:val="single" w:sz="4" w:space="4" w:color="auto"/>
        </w:pBdr>
        <w:tabs>
          <w:tab w:val="left" w:pos="2835"/>
        </w:tabs>
        <w:ind w:left="2835" w:right="43" w:hanging="2835"/>
        <w:rPr>
          <w:b/>
        </w:rPr>
      </w:pPr>
      <w:r>
        <w:rPr>
          <w:b/>
        </w:rPr>
        <w:tab/>
      </w:r>
    </w:p>
    <w:p w:rsidR="005C2AE5" w:rsidRDefault="005C2AE5" w:rsidP="00547E28">
      <w:pPr>
        <w:ind w:right="43"/>
      </w:pPr>
    </w:p>
    <w:p w:rsidR="00840506" w:rsidRPr="002D3151" w:rsidRDefault="005C2AE5" w:rsidP="00547E28">
      <w:pPr>
        <w:ind w:right="43"/>
        <w:rPr>
          <w:b/>
        </w:rPr>
      </w:pPr>
      <w:r w:rsidRPr="002D3151">
        <w:rPr>
          <w:b/>
        </w:rPr>
        <w:t>Appendices</w:t>
      </w:r>
    </w:p>
    <w:p w:rsidR="00840506" w:rsidRDefault="00E60879" w:rsidP="00547E28">
      <w:pPr>
        <w:ind w:right="43"/>
        <w:rPr>
          <w:b/>
        </w:rPr>
      </w:pPr>
      <w:r w:rsidRPr="00766105">
        <w:rPr>
          <w:b/>
        </w:rPr>
        <w:t xml:space="preserve">Appendix </w:t>
      </w:r>
      <w:proofErr w:type="gramStart"/>
      <w:r w:rsidRPr="00766105">
        <w:rPr>
          <w:b/>
        </w:rPr>
        <w:t>A</w:t>
      </w:r>
      <w:proofErr w:type="gramEnd"/>
      <w:r w:rsidRPr="00766105">
        <w:rPr>
          <w:b/>
        </w:rPr>
        <w:t xml:space="preserve"> –Statement of Accounts 201</w:t>
      </w:r>
      <w:r w:rsidR="00577A67">
        <w:rPr>
          <w:b/>
        </w:rPr>
        <w:t>8</w:t>
      </w:r>
      <w:r w:rsidRPr="00766105">
        <w:rPr>
          <w:b/>
        </w:rPr>
        <w:t>/1</w:t>
      </w:r>
      <w:r w:rsidR="00577A67">
        <w:rPr>
          <w:b/>
        </w:rPr>
        <w:t>9</w:t>
      </w:r>
    </w:p>
    <w:p w:rsidR="005C2AE5" w:rsidRPr="00766105" w:rsidRDefault="005C2AE5" w:rsidP="00547E28">
      <w:pPr>
        <w:ind w:right="43"/>
        <w:rPr>
          <w:b/>
        </w:rPr>
      </w:pPr>
      <w:r>
        <w:rPr>
          <w:b/>
        </w:rPr>
        <w:t>Appendix B – Letter of Representation</w:t>
      </w:r>
    </w:p>
    <w:p w:rsidR="00E60879" w:rsidRDefault="00E60879" w:rsidP="00547E28">
      <w:pPr>
        <w:ind w:right="43"/>
      </w:pPr>
    </w:p>
    <w:p w:rsidR="005C2AE5" w:rsidRPr="002D3151" w:rsidRDefault="005C2AE5" w:rsidP="00547E28">
      <w:pPr>
        <w:ind w:right="43"/>
        <w:rPr>
          <w:b/>
        </w:rPr>
      </w:pPr>
      <w:r w:rsidRPr="002D3151">
        <w:rPr>
          <w:b/>
        </w:rPr>
        <w:t>Background</w:t>
      </w:r>
    </w:p>
    <w:p w:rsidR="005C2AE5" w:rsidRDefault="005C2AE5" w:rsidP="00547E28">
      <w:pPr>
        <w:ind w:right="43"/>
      </w:pPr>
    </w:p>
    <w:p w:rsidR="009A6741" w:rsidRDefault="009A6741" w:rsidP="009A6741">
      <w:pPr>
        <w:numPr>
          <w:ilvl w:val="0"/>
          <w:numId w:val="22"/>
        </w:numPr>
        <w:ind w:right="43"/>
      </w:pPr>
      <w:r>
        <w:t>The Statement of Accounts for 201</w:t>
      </w:r>
      <w:r w:rsidR="00577A67">
        <w:t>8</w:t>
      </w:r>
      <w:r>
        <w:t>/1</w:t>
      </w:r>
      <w:r w:rsidR="00577A67">
        <w:t>9</w:t>
      </w:r>
      <w:r>
        <w:t xml:space="preserve"> </w:t>
      </w:r>
      <w:r w:rsidRPr="009A6741">
        <w:t>(the Statements)</w:t>
      </w:r>
      <w:r>
        <w:t xml:space="preserve"> are attached at Appendix A. The Accounts and Audit Regulations 2015 which revoke and replace the 2011 Regulations invoke earlier dates for the preparation, approval and publication of the Statements.  </w:t>
      </w:r>
      <w:r w:rsidRPr="009A6741">
        <w:t xml:space="preserve">Accounts </w:t>
      </w:r>
      <w:r>
        <w:t xml:space="preserve">now have to be </w:t>
      </w:r>
      <w:r w:rsidRPr="009A6741">
        <w:t>co</w:t>
      </w:r>
      <w:r>
        <w:t xml:space="preserve">mpleted and published in draft form by 31st May and audited, approved and published </w:t>
      </w:r>
      <w:r w:rsidRPr="009A6741">
        <w:t>by 31st July</w:t>
      </w:r>
      <w:r>
        <w:t>.</w:t>
      </w:r>
    </w:p>
    <w:p w:rsidR="009A6741" w:rsidRDefault="009A6741" w:rsidP="009A6741">
      <w:pPr>
        <w:ind w:left="360" w:right="43"/>
      </w:pPr>
    </w:p>
    <w:p w:rsidR="005C2AE5" w:rsidRDefault="005C2AE5" w:rsidP="009A6741">
      <w:pPr>
        <w:numPr>
          <w:ilvl w:val="0"/>
          <w:numId w:val="22"/>
        </w:numPr>
        <w:ind w:right="43"/>
      </w:pPr>
      <w:r w:rsidRPr="005C2AE5">
        <w:t xml:space="preserve">On the </w:t>
      </w:r>
      <w:r w:rsidR="001713E2">
        <w:t>31</w:t>
      </w:r>
      <w:r w:rsidR="001713E2" w:rsidRPr="009A6741">
        <w:rPr>
          <w:vertAlign w:val="superscript"/>
        </w:rPr>
        <w:t>st</w:t>
      </w:r>
      <w:r w:rsidR="001713E2">
        <w:t xml:space="preserve"> May</w:t>
      </w:r>
      <w:r w:rsidRPr="005C2AE5">
        <w:t xml:space="preserve"> 201</w:t>
      </w:r>
      <w:r w:rsidR="00577A67">
        <w:t>9</w:t>
      </w:r>
      <w:r w:rsidRPr="005C2AE5">
        <w:t xml:space="preserve"> the draft </w:t>
      </w:r>
      <w:r w:rsidR="009A6741">
        <w:t>Statements</w:t>
      </w:r>
      <w:r w:rsidRPr="005C2AE5">
        <w:t xml:space="preserve"> were certified by the ‘Responsible Officer’, the Head of Financ</w:t>
      </w:r>
      <w:r w:rsidR="00DC4421">
        <w:t>ial Services</w:t>
      </w:r>
      <w:r w:rsidRPr="005C2AE5">
        <w:t xml:space="preserve"> as a true and fair view of the financial position of the authority at the 31st March 201</w:t>
      </w:r>
      <w:r w:rsidR="00577A67">
        <w:t>9</w:t>
      </w:r>
      <w:r w:rsidRPr="005C2AE5">
        <w:t>. The accounts were duly authorised to be released for audit.</w:t>
      </w:r>
    </w:p>
    <w:p w:rsidR="005C2AE5" w:rsidRDefault="005C2AE5" w:rsidP="002D3151">
      <w:pPr>
        <w:ind w:left="426" w:right="43"/>
      </w:pPr>
    </w:p>
    <w:p w:rsidR="005C2AE5" w:rsidRDefault="005C2AE5" w:rsidP="002D3151">
      <w:pPr>
        <w:numPr>
          <w:ilvl w:val="0"/>
          <w:numId w:val="22"/>
        </w:numPr>
        <w:ind w:left="426" w:right="43"/>
      </w:pPr>
      <w:r w:rsidRPr="005C2AE5">
        <w:lastRenderedPageBreak/>
        <w:t>Following audit by Ernst and Young the Statements have been re-certified by the Head of Financial Services and re-presented to this Audit and Governance Committee for final approval, prior to the 3</w:t>
      </w:r>
      <w:r w:rsidR="009A6741">
        <w:t>1</w:t>
      </w:r>
      <w:r w:rsidR="009A6741" w:rsidRPr="009A6741">
        <w:rPr>
          <w:vertAlign w:val="superscript"/>
        </w:rPr>
        <w:t>st</w:t>
      </w:r>
      <w:r w:rsidR="009A6741">
        <w:t xml:space="preserve"> July </w:t>
      </w:r>
      <w:r w:rsidRPr="005C2AE5">
        <w:t>deadline in accordance with the regulations.</w:t>
      </w:r>
    </w:p>
    <w:p w:rsidR="005C2AE5" w:rsidRDefault="005C2AE5" w:rsidP="002D3151">
      <w:pPr>
        <w:pStyle w:val="ListParagraph"/>
        <w:ind w:left="426"/>
      </w:pPr>
    </w:p>
    <w:p w:rsidR="00274FD7" w:rsidRPr="00A35173" w:rsidRDefault="00274FD7" w:rsidP="002D3151">
      <w:pPr>
        <w:numPr>
          <w:ilvl w:val="0"/>
          <w:numId w:val="22"/>
        </w:numPr>
        <w:ind w:left="426" w:right="43"/>
      </w:pPr>
      <w:r w:rsidRPr="00A35173">
        <w:t>The 201</w:t>
      </w:r>
      <w:r w:rsidR="00577A67">
        <w:t>8</w:t>
      </w:r>
      <w:r w:rsidRPr="00A35173">
        <w:t>/1</w:t>
      </w:r>
      <w:r w:rsidR="00577A67">
        <w:t>9</w:t>
      </w:r>
      <w:r w:rsidRPr="00A35173">
        <w:t xml:space="preserve"> audit is </w:t>
      </w:r>
      <w:r w:rsidR="001713E2" w:rsidRPr="00A35173">
        <w:t xml:space="preserve">complete with some specific matters outstanding as reported in the Audit Results Report elsewhere on this agenda </w:t>
      </w:r>
      <w:r w:rsidRPr="00A35173">
        <w:t xml:space="preserve">but it is anticipated that </w:t>
      </w:r>
      <w:r w:rsidR="001713E2" w:rsidRPr="00A35173">
        <w:t>all matters</w:t>
      </w:r>
      <w:r w:rsidRPr="00A35173">
        <w:t xml:space="preserve"> will be complete by the date of the Audit Committee so that the accounts can be signed off.</w:t>
      </w:r>
    </w:p>
    <w:p w:rsidR="00274FD7" w:rsidRDefault="00274FD7" w:rsidP="009A6741"/>
    <w:p w:rsidR="00274FD7" w:rsidRPr="00A35173" w:rsidRDefault="00274FD7" w:rsidP="002D3151">
      <w:pPr>
        <w:numPr>
          <w:ilvl w:val="0"/>
          <w:numId w:val="22"/>
        </w:numPr>
        <w:ind w:left="426" w:right="43"/>
      </w:pPr>
      <w:r w:rsidRPr="00A35173">
        <w:t xml:space="preserve">The auditors made some recommended changes, in line with the Code of Practice, </w:t>
      </w:r>
      <w:r w:rsidR="009A6741" w:rsidRPr="00A35173">
        <w:t xml:space="preserve">which have been incorporated into the final version of the Statements </w:t>
      </w:r>
      <w:r w:rsidRPr="00A35173">
        <w:t>and have also issued a draft report on the outcome of the audit. This report appears elsewhere on the meeting agenda.</w:t>
      </w:r>
    </w:p>
    <w:p w:rsidR="00274FD7" w:rsidRPr="008D7861" w:rsidRDefault="00274FD7" w:rsidP="002D3151">
      <w:pPr>
        <w:pStyle w:val="ListParagraph"/>
      </w:pPr>
    </w:p>
    <w:p w:rsidR="00274FD7" w:rsidRPr="008D7861" w:rsidRDefault="00274FD7" w:rsidP="002D3151">
      <w:pPr>
        <w:numPr>
          <w:ilvl w:val="0"/>
          <w:numId w:val="22"/>
        </w:numPr>
        <w:ind w:left="426" w:right="43"/>
      </w:pPr>
      <w:r w:rsidRPr="008D7861">
        <w:t>The auditors are expected to issue an unqualified opinion on the financial statements.</w:t>
      </w:r>
    </w:p>
    <w:p w:rsidR="00274FD7" w:rsidRDefault="00274FD7" w:rsidP="002D3151">
      <w:pPr>
        <w:pStyle w:val="ListParagraph"/>
      </w:pPr>
    </w:p>
    <w:p w:rsidR="00274FD7" w:rsidRPr="002D3151" w:rsidRDefault="00274FD7" w:rsidP="00A57DD2">
      <w:pPr>
        <w:pStyle w:val="ListParagraph"/>
        <w:ind w:left="0"/>
        <w:rPr>
          <w:b/>
        </w:rPr>
      </w:pPr>
      <w:r w:rsidRPr="002D3151">
        <w:rPr>
          <w:b/>
        </w:rPr>
        <w:t>Uncorrected Misstatements</w:t>
      </w:r>
    </w:p>
    <w:p w:rsidR="00274FD7" w:rsidRDefault="00274FD7" w:rsidP="002D3151">
      <w:pPr>
        <w:pStyle w:val="ListParagraph"/>
      </w:pPr>
    </w:p>
    <w:p w:rsidR="00577A67" w:rsidRPr="00577A67" w:rsidRDefault="00577A67" w:rsidP="004F660F">
      <w:pPr>
        <w:numPr>
          <w:ilvl w:val="0"/>
          <w:numId w:val="22"/>
        </w:numPr>
        <w:ind w:right="43"/>
      </w:pPr>
      <w:r>
        <w:t>There are no uncorrected misstatements in the accounts.</w:t>
      </w:r>
    </w:p>
    <w:p w:rsidR="00274FD7" w:rsidRDefault="00274FD7" w:rsidP="002D3151">
      <w:pPr>
        <w:ind w:left="426" w:right="43"/>
      </w:pPr>
    </w:p>
    <w:p w:rsidR="00274FD7" w:rsidRPr="002D3151" w:rsidRDefault="00B73B72" w:rsidP="00274FD7">
      <w:pPr>
        <w:ind w:right="43"/>
        <w:rPr>
          <w:b/>
        </w:rPr>
      </w:pPr>
      <w:r>
        <w:rPr>
          <w:b/>
        </w:rPr>
        <w:t>Changes to the Statements</w:t>
      </w:r>
    </w:p>
    <w:p w:rsidR="00274FD7" w:rsidRDefault="00274FD7" w:rsidP="002D3151">
      <w:pPr>
        <w:ind w:left="426" w:right="43"/>
      </w:pPr>
    </w:p>
    <w:p w:rsidR="00274FD7" w:rsidRDefault="00274FD7" w:rsidP="002D3151">
      <w:pPr>
        <w:numPr>
          <w:ilvl w:val="0"/>
          <w:numId w:val="22"/>
        </w:numPr>
        <w:ind w:left="426" w:right="43"/>
      </w:pPr>
      <w:r w:rsidRPr="00274FD7">
        <w:t>During the audit the external auditors identified a number of changes to the accounts which the Council have made. These changes do not have any material impact on the Council’s overall financial position as they relate to disclosure notes, Balance Sheet items or items which are reversed out of the Comprehensive Income and Expenditure Statement (CIES) under normal accounting practice.</w:t>
      </w:r>
    </w:p>
    <w:p w:rsidR="00577A67" w:rsidRDefault="00577A67" w:rsidP="00577A67">
      <w:pPr>
        <w:ind w:left="426" w:right="43"/>
      </w:pPr>
    </w:p>
    <w:p w:rsidR="00577A67" w:rsidRDefault="00577A67" w:rsidP="00577A67">
      <w:pPr>
        <w:numPr>
          <w:ilvl w:val="0"/>
          <w:numId w:val="22"/>
        </w:numPr>
        <w:ind w:right="43"/>
      </w:pPr>
      <w:r>
        <w:t>There was a significant change during the audit period due to a court case relating to the Local Government Pension Scheme which has a potential impact on the pension funds of all local authorities.  This is covered in more detail in a separate section below.</w:t>
      </w:r>
    </w:p>
    <w:p w:rsidR="00274FD7" w:rsidRDefault="00274FD7" w:rsidP="002D3151">
      <w:pPr>
        <w:ind w:left="426" w:right="43"/>
      </w:pPr>
    </w:p>
    <w:p w:rsidR="00274FD7" w:rsidRDefault="002D3151" w:rsidP="002D3151">
      <w:pPr>
        <w:numPr>
          <w:ilvl w:val="0"/>
          <w:numId w:val="22"/>
        </w:numPr>
        <w:ind w:left="426" w:right="43"/>
      </w:pPr>
      <w:r>
        <w:t>The Statement</w:t>
      </w:r>
      <w:r w:rsidR="00B73B72">
        <w:t>s</w:t>
      </w:r>
      <w:r>
        <w:t xml:space="preserve"> attached at </w:t>
      </w:r>
      <w:r w:rsidR="00274FD7" w:rsidRPr="00274FD7">
        <w:t>Appendix 1 include the adjustments that have been agreed and made as a consequence of the audit. The changes included are:</w:t>
      </w:r>
    </w:p>
    <w:p w:rsidR="00B94823" w:rsidRDefault="00B94823" w:rsidP="00B94823">
      <w:pPr>
        <w:pStyle w:val="ListParagraph"/>
        <w:numPr>
          <w:ilvl w:val="0"/>
          <w:numId w:val="23"/>
        </w:numPr>
      </w:pPr>
      <w:r>
        <w:t xml:space="preserve">A transposition error </w:t>
      </w:r>
      <w:r w:rsidR="00195539">
        <w:t>occurred</w:t>
      </w:r>
      <w:r>
        <w:t xml:space="preserve"> in applying the Balance Sheet date adjustment applied to the Property Plant and Equipment valuation.  The valuation report recommends a downward movement of 1.89% against the 01.04.2018 valuations.  However an error meant that the valuation applied was 1.98%. The resulting variance is £646,421 which increases the value of assets and </w:t>
      </w:r>
      <w:proofErr w:type="gramStart"/>
      <w:r>
        <w:t>increase</w:t>
      </w:r>
      <w:proofErr w:type="gramEnd"/>
      <w:r>
        <w:t xml:space="preserve"> the revaluation reserve by this amount. There is no impact on the Council’s out-turn or the level of resources in the Council’s General Fund.</w:t>
      </w:r>
    </w:p>
    <w:p w:rsidR="007115AA" w:rsidRDefault="007115AA" w:rsidP="0017425D">
      <w:pPr>
        <w:pStyle w:val="ListParagraph"/>
        <w:numPr>
          <w:ilvl w:val="0"/>
          <w:numId w:val="23"/>
        </w:numPr>
      </w:pPr>
      <w:r>
        <w:t>Revised pension figures resulting from a revised report received from the pension fund actuary</w:t>
      </w:r>
      <w:r w:rsidR="00B94823">
        <w:t xml:space="preserve"> – see section below for details</w:t>
      </w:r>
      <w:r>
        <w:t>.</w:t>
      </w:r>
    </w:p>
    <w:p w:rsidR="00577A67" w:rsidRDefault="00577A67" w:rsidP="00577A67">
      <w:pPr>
        <w:ind w:left="426" w:right="43"/>
      </w:pPr>
    </w:p>
    <w:p w:rsidR="00274FD7" w:rsidRDefault="00274FD7" w:rsidP="002D3151">
      <w:pPr>
        <w:numPr>
          <w:ilvl w:val="0"/>
          <w:numId w:val="22"/>
        </w:numPr>
        <w:ind w:left="426" w:right="43"/>
      </w:pPr>
      <w:r w:rsidRPr="00274FD7">
        <w:t xml:space="preserve">A verbal update will be given at Audit and Governance Committee </w:t>
      </w:r>
      <w:r w:rsidR="00151FAF">
        <w:t>i</w:t>
      </w:r>
      <w:r w:rsidRPr="00274FD7">
        <w:t xml:space="preserve">f </w:t>
      </w:r>
      <w:r w:rsidR="00151FAF">
        <w:t xml:space="preserve">there are </w:t>
      </w:r>
      <w:r w:rsidRPr="00274FD7">
        <w:t>any subsequent changes that need to be made.</w:t>
      </w:r>
    </w:p>
    <w:p w:rsidR="00551F80" w:rsidRDefault="00551F80" w:rsidP="00551F80">
      <w:pPr>
        <w:ind w:left="426" w:right="43"/>
      </w:pPr>
    </w:p>
    <w:p w:rsidR="00551F80" w:rsidRPr="002D3151" w:rsidRDefault="00551F80" w:rsidP="00551F80">
      <w:pPr>
        <w:ind w:right="43"/>
        <w:rPr>
          <w:b/>
        </w:rPr>
      </w:pPr>
      <w:r>
        <w:rPr>
          <w:b/>
        </w:rPr>
        <w:t>Pension Fund Reporting Changes</w:t>
      </w:r>
    </w:p>
    <w:p w:rsidR="00551F80" w:rsidRDefault="00551F80" w:rsidP="00551F80">
      <w:pPr>
        <w:ind w:left="426" w:right="43"/>
      </w:pPr>
    </w:p>
    <w:p w:rsidR="00551F80" w:rsidRDefault="00551F80" w:rsidP="00551F80">
      <w:pPr>
        <w:numPr>
          <w:ilvl w:val="0"/>
          <w:numId w:val="22"/>
        </w:numPr>
        <w:ind w:right="43"/>
      </w:pPr>
      <w:r>
        <w:t>In December 2018, the Court of Appeal ruled against the Government, holding that changes made to pension schemes discriminated against a group of firefighters and a group of judges on the grounds of age.</w:t>
      </w:r>
    </w:p>
    <w:p w:rsidR="00551F80" w:rsidRDefault="00551F80" w:rsidP="0043384C">
      <w:pPr>
        <w:ind w:left="360" w:right="43"/>
      </w:pPr>
    </w:p>
    <w:p w:rsidR="00551F80" w:rsidRDefault="00551F80" w:rsidP="00551F80">
      <w:pPr>
        <w:numPr>
          <w:ilvl w:val="0"/>
          <w:numId w:val="22"/>
        </w:numPr>
        <w:ind w:right="43"/>
      </w:pPr>
      <w:r>
        <w:t xml:space="preserve">The Court of Appeal heard the two cases, Sergeant and others v London Fire and Emergency Planning Authority and others (Sergeant) and McCloud and others v Ministry of Justice (McCloud) together, due to similarities in the issues under consideration. In </w:t>
      </w:r>
      <w:r w:rsidR="0043384C">
        <w:t>summary</w:t>
      </w:r>
      <w:r>
        <w:t>, the court looked at whether transitional protections offered to older judges and firefighters in their respective pension schemes, which were intended to cushion them from changes being made to future pension benefits, were directly age discriminatory, on the basis that younger members of the schemes were offered no such protection.</w:t>
      </w:r>
    </w:p>
    <w:p w:rsidR="0043384C" w:rsidRDefault="0043384C" w:rsidP="0043384C">
      <w:pPr>
        <w:pStyle w:val="ListParagraph"/>
        <w:ind w:left="360"/>
      </w:pPr>
    </w:p>
    <w:p w:rsidR="00551F80" w:rsidRDefault="0043384C" w:rsidP="00551F80">
      <w:pPr>
        <w:numPr>
          <w:ilvl w:val="0"/>
          <w:numId w:val="22"/>
        </w:numPr>
        <w:ind w:right="43"/>
      </w:pPr>
      <w:r>
        <w:t>A</w:t>
      </w:r>
      <w:r w:rsidR="00551F80" w:rsidRPr="00551F80">
        <w:t xml:space="preserve"> ruling </w:t>
      </w:r>
      <w:r>
        <w:t>was</w:t>
      </w:r>
      <w:r w:rsidR="00551F80" w:rsidRPr="00551F80">
        <w:t xml:space="preserve"> made </w:t>
      </w:r>
      <w:r>
        <w:t xml:space="preserve">that found that the transitional protection was discriminatory on the basis of age discrimination.  </w:t>
      </w:r>
      <w:r w:rsidR="00551F80" w:rsidRPr="00551F80">
        <w:t>The rulings have implications for the LGPS, Police and Fire schemes since similar reforms were implemented.</w:t>
      </w:r>
    </w:p>
    <w:p w:rsidR="0043384C" w:rsidRDefault="0043384C" w:rsidP="0043384C">
      <w:pPr>
        <w:pStyle w:val="ListParagraph"/>
        <w:ind w:left="360"/>
      </w:pPr>
    </w:p>
    <w:p w:rsidR="0043384C" w:rsidRPr="0043384C" w:rsidRDefault="0043384C" w:rsidP="0043384C">
      <w:pPr>
        <w:pStyle w:val="ListParagraph"/>
        <w:numPr>
          <w:ilvl w:val="0"/>
          <w:numId w:val="22"/>
        </w:numPr>
      </w:pPr>
      <w:r w:rsidRPr="0043384C">
        <w:t xml:space="preserve">On 27 June 2019, the Government was denied leave to appeal the Court of Appeal decision, which means the required changes to adhere to the Court’s </w:t>
      </w:r>
      <w:proofErr w:type="gramStart"/>
      <w:r w:rsidRPr="0043384C">
        <w:t>findings</w:t>
      </w:r>
      <w:proofErr w:type="gramEnd"/>
      <w:r w:rsidRPr="0043384C">
        <w:t xml:space="preserve"> will be determined by an Employment Tribunal for which a date has not yet been set.</w:t>
      </w:r>
      <w:r>
        <w:t xml:space="preserve">  It is the denial of leave to appeal that has given rise to changes being necessary to pension fund calculations.</w:t>
      </w:r>
    </w:p>
    <w:p w:rsidR="0043384C" w:rsidRDefault="0043384C" w:rsidP="0043384C">
      <w:pPr>
        <w:ind w:left="360" w:right="43"/>
      </w:pPr>
    </w:p>
    <w:p w:rsidR="00551F80" w:rsidRDefault="00551F80" w:rsidP="00551F80">
      <w:pPr>
        <w:numPr>
          <w:ilvl w:val="0"/>
          <w:numId w:val="22"/>
        </w:numPr>
        <w:ind w:right="43"/>
      </w:pPr>
      <w:r w:rsidRPr="00551F80">
        <w:t xml:space="preserve">The final situation in terms of employer pension liabilities and financial impact is not clear since the </w:t>
      </w:r>
      <w:r w:rsidR="0043384C">
        <w:t xml:space="preserve">employment tribunal has not heard the case </w:t>
      </w:r>
      <w:r w:rsidRPr="00551F80">
        <w:t>and any remediation process, including cost cap considerations, may affect the resolution and financial impact for entities.</w:t>
      </w:r>
    </w:p>
    <w:p w:rsidR="0043384C" w:rsidRDefault="0043384C" w:rsidP="0043384C">
      <w:pPr>
        <w:pStyle w:val="ListParagraph"/>
        <w:ind w:left="360"/>
      </w:pPr>
    </w:p>
    <w:p w:rsidR="00551F80" w:rsidRDefault="0043384C" w:rsidP="00551F80">
      <w:pPr>
        <w:numPr>
          <w:ilvl w:val="0"/>
          <w:numId w:val="22"/>
        </w:numPr>
        <w:ind w:right="43"/>
      </w:pPr>
      <w:r>
        <w:t>The changes will have different effects at indi</w:t>
      </w:r>
      <w:r w:rsidR="007115AA">
        <w:t>vi</w:t>
      </w:r>
      <w:r>
        <w:t>dual pension fund level due to the different demographic make</w:t>
      </w:r>
      <w:r w:rsidR="007115AA">
        <w:t>-</w:t>
      </w:r>
      <w:r>
        <w:t>up of the members of each fund.  Due to this, the Council obtained a revised report from the pension fund actuary which estimates the possible impact on the Council’s pension fund liabilities based on the best information available.  The results of this report have then been used to amend the Council’</w:t>
      </w:r>
      <w:r w:rsidR="007115AA">
        <w:t xml:space="preserve">s Statement of Accounts.  There is no impact on the level of balances held within the Council’s General Fund or Housing Revenue Account resulting from these changes since any movements </w:t>
      </w:r>
      <w:proofErr w:type="gramStart"/>
      <w:r w:rsidR="007115AA">
        <w:t>are</w:t>
      </w:r>
      <w:proofErr w:type="gramEnd"/>
      <w:r w:rsidR="007115AA">
        <w:t xml:space="preserve"> reversed in the Movement in Reserves statement.</w:t>
      </w:r>
      <w:r w:rsidR="00B94823">
        <w:t xml:space="preserve">  The estimated effect of the changes on the City Council pension fund is an increase in</w:t>
      </w:r>
      <w:r w:rsidR="00195539">
        <w:t xml:space="preserve"> pension</w:t>
      </w:r>
      <w:r w:rsidR="00B94823">
        <w:t xml:space="preserve"> liabilities by </w:t>
      </w:r>
      <w:r w:rsidR="00195539">
        <w:t>£3.7 million.  This adjustment is shown separately as an exceptional item on the face of the Comprehensive Income and Expenditure Statement which is then explained in Note 4 to the accounts.</w:t>
      </w:r>
    </w:p>
    <w:p w:rsidR="00B94823" w:rsidRDefault="00B94823" w:rsidP="00B94823">
      <w:pPr>
        <w:pStyle w:val="ListParagraph"/>
      </w:pPr>
    </w:p>
    <w:p w:rsidR="00B94823" w:rsidRDefault="00B94823" w:rsidP="00551F80">
      <w:pPr>
        <w:numPr>
          <w:ilvl w:val="0"/>
          <w:numId w:val="22"/>
        </w:numPr>
        <w:ind w:right="43"/>
      </w:pPr>
      <w:r>
        <w:t xml:space="preserve">In calculating the revised pension figures, the actuary took the opportunity to amend the value of assets to the actual level of assets at the </w:t>
      </w:r>
      <w:r w:rsidR="00B17F2F">
        <w:t>year-end</w:t>
      </w:r>
      <w:r>
        <w:t xml:space="preserve"> instead </w:t>
      </w:r>
      <w:r w:rsidR="00195539">
        <w:t>of the estimation used for the original actuary report.  This has resulted in reduction in pension liabilities by £1.2 million.</w:t>
      </w:r>
    </w:p>
    <w:p w:rsidR="00195539" w:rsidRDefault="00195539" w:rsidP="00195539">
      <w:pPr>
        <w:pStyle w:val="ListParagraph"/>
      </w:pPr>
    </w:p>
    <w:p w:rsidR="00195539" w:rsidRDefault="00195539" w:rsidP="00551F80">
      <w:pPr>
        <w:numPr>
          <w:ilvl w:val="0"/>
          <w:numId w:val="22"/>
        </w:numPr>
        <w:ind w:right="43"/>
      </w:pPr>
      <w:r>
        <w:t xml:space="preserve">Neither of these changes have an effect on General Fund balances </w:t>
      </w:r>
      <w:r w:rsidR="00B17F2F">
        <w:t>since all effects are reversed out through the Movement in Reserves Statement.</w:t>
      </w:r>
    </w:p>
    <w:p w:rsidR="00B73B72" w:rsidRDefault="00B73B72" w:rsidP="00B73B72">
      <w:pPr>
        <w:ind w:left="426" w:right="43"/>
      </w:pPr>
    </w:p>
    <w:p w:rsidR="00E755EB" w:rsidRDefault="00E755EB" w:rsidP="00B73B72">
      <w:pPr>
        <w:ind w:left="426" w:right="43"/>
      </w:pPr>
    </w:p>
    <w:p w:rsidR="00B73B72" w:rsidRDefault="00B73B72" w:rsidP="00B73B72">
      <w:pPr>
        <w:ind w:right="43"/>
        <w:rPr>
          <w:b/>
        </w:rPr>
      </w:pPr>
      <w:r>
        <w:rPr>
          <w:b/>
        </w:rPr>
        <w:lastRenderedPageBreak/>
        <w:t>The Statements</w:t>
      </w:r>
    </w:p>
    <w:p w:rsidR="00577DA8" w:rsidRPr="00577DA8" w:rsidRDefault="00577DA8" w:rsidP="00B73B72">
      <w:pPr>
        <w:ind w:right="43"/>
      </w:pPr>
    </w:p>
    <w:p w:rsidR="00B66B8B" w:rsidRDefault="00B66B8B" w:rsidP="00B73B72">
      <w:pPr>
        <w:numPr>
          <w:ilvl w:val="0"/>
          <w:numId w:val="22"/>
        </w:numPr>
        <w:ind w:left="426" w:right="43"/>
      </w:pPr>
      <w:r w:rsidRPr="00B66B8B">
        <w:t>The Statement of Accounts consists of the following:</w:t>
      </w:r>
    </w:p>
    <w:p w:rsidR="00B66B8B" w:rsidRDefault="00B66B8B" w:rsidP="00B73B72">
      <w:pPr>
        <w:ind w:left="426" w:right="43"/>
      </w:pPr>
    </w:p>
    <w:p w:rsidR="00B73B72" w:rsidRPr="00B17F2F" w:rsidRDefault="00B73B72" w:rsidP="00577DA8">
      <w:pPr>
        <w:pStyle w:val="ListParagraph"/>
        <w:numPr>
          <w:ilvl w:val="0"/>
          <w:numId w:val="23"/>
        </w:numPr>
        <w:ind w:right="43"/>
      </w:pPr>
      <w:r>
        <w:t xml:space="preserve">The Statement of Responsibilities, setting out the general responsibilities of both the City Council, and the Section 151 Officer (The Head of Financial Services). The Head of Financial Services has to sign a statement that the Accounts present a true and fair view of the financial position of the Council at the accounting date and its income and </w:t>
      </w:r>
      <w:r w:rsidRPr="00B17F2F">
        <w:t>expenditure for that year then ended (page 6 and page 26).</w:t>
      </w:r>
    </w:p>
    <w:p w:rsidR="00B73B72" w:rsidRDefault="00B73B72" w:rsidP="00577DA8">
      <w:pPr>
        <w:pStyle w:val="ListParagraph"/>
        <w:numPr>
          <w:ilvl w:val="0"/>
          <w:numId w:val="23"/>
        </w:numPr>
        <w:ind w:right="43"/>
      </w:pPr>
      <w:r w:rsidRPr="00B17F2F">
        <w:t>The Core Financial Statements (pages 21 to 27) and supplementary</w:t>
      </w:r>
      <w:r>
        <w:t xml:space="preserve"> </w:t>
      </w:r>
      <w:r w:rsidRPr="00B17F2F">
        <w:t>statements (pages 8</w:t>
      </w:r>
      <w:r w:rsidR="00B17F2F" w:rsidRPr="00B17F2F">
        <w:t>7</w:t>
      </w:r>
      <w:r w:rsidRPr="00B17F2F">
        <w:t xml:space="preserve"> to 9</w:t>
      </w:r>
      <w:r w:rsidR="00B17F2F" w:rsidRPr="00B17F2F">
        <w:t>6</w:t>
      </w:r>
      <w:r w:rsidRPr="00B17F2F">
        <w:t>) and group accounts (pages 97 to 1</w:t>
      </w:r>
      <w:r w:rsidR="00B17F2F" w:rsidRPr="00B17F2F">
        <w:t>24</w:t>
      </w:r>
      <w:r w:rsidRPr="00B17F2F">
        <w:t>)</w:t>
      </w:r>
      <w:r>
        <w:t xml:space="preserve"> incorporating:</w:t>
      </w:r>
    </w:p>
    <w:p w:rsidR="00B73B72" w:rsidRDefault="00B73B72" w:rsidP="00577DA8">
      <w:pPr>
        <w:pStyle w:val="ListParagraph"/>
        <w:numPr>
          <w:ilvl w:val="0"/>
          <w:numId w:val="26"/>
        </w:numPr>
        <w:ind w:right="43"/>
      </w:pPr>
      <w:r>
        <w:t>A Movement in Reserves Statement (MIRS) - a statement used to adjust International Financial Reporting Standard accounting practice to Local Government proper practice to ensure the accounting changes do not impact on Council Tax and create any additional burden to the tax payer.</w:t>
      </w:r>
    </w:p>
    <w:p w:rsidR="00B73B72" w:rsidRDefault="00B73B72" w:rsidP="00577DA8">
      <w:pPr>
        <w:pStyle w:val="ListParagraph"/>
        <w:numPr>
          <w:ilvl w:val="0"/>
          <w:numId w:val="26"/>
        </w:numPr>
        <w:ind w:right="43"/>
      </w:pPr>
      <w:r>
        <w:t>The Comprehensive Income and Expenditure Statement - a statement which incorporates all revenue income and expenditure relating to the year.</w:t>
      </w:r>
    </w:p>
    <w:p w:rsidR="00B73B72" w:rsidRDefault="00B73B72" w:rsidP="00577DA8">
      <w:pPr>
        <w:pStyle w:val="ListParagraph"/>
        <w:numPr>
          <w:ilvl w:val="0"/>
          <w:numId w:val="26"/>
        </w:numPr>
        <w:ind w:right="43"/>
      </w:pPr>
      <w:r>
        <w:t>Expenditure and Funding Analysis - a statement that supports and provides more information on the Comprehensive Income and Expenditure Statement.</w:t>
      </w:r>
    </w:p>
    <w:p w:rsidR="00B73B72" w:rsidRDefault="00577DA8" w:rsidP="00577DA8">
      <w:pPr>
        <w:pStyle w:val="ListParagraph"/>
        <w:numPr>
          <w:ilvl w:val="0"/>
          <w:numId w:val="26"/>
        </w:numPr>
        <w:ind w:right="43"/>
      </w:pPr>
      <w:r>
        <w:t xml:space="preserve">A </w:t>
      </w:r>
      <w:r w:rsidR="00B73B72">
        <w:t xml:space="preserve">Balance Sheet </w:t>
      </w:r>
      <w:r w:rsidR="00577A67">
        <w:t>–</w:t>
      </w:r>
      <w:r w:rsidR="00B73B72">
        <w:t xml:space="preserve"> </w:t>
      </w:r>
      <w:r w:rsidR="00577A67">
        <w:t xml:space="preserve">a statement </w:t>
      </w:r>
      <w:r w:rsidR="00B73B72">
        <w:t>which records all the assets and liabilities at the Balance Sheet date of 31 March.</w:t>
      </w:r>
    </w:p>
    <w:p w:rsidR="00E37B28" w:rsidRDefault="00E37B28" w:rsidP="00577DA8">
      <w:pPr>
        <w:pStyle w:val="ListParagraph"/>
        <w:numPr>
          <w:ilvl w:val="0"/>
          <w:numId w:val="26"/>
        </w:numPr>
        <w:ind w:right="43"/>
      </w:pPr>
      <w:r>
        <w:t xml:space="preserve">A </w:t>
      </w:r>
      <w:proofErr w:type="spellStart"/>
      <w:r>
        <w:t>Cashflow</w:t>
      </w:r>
      <w:proofErr w:type="spellEnd"/>
      <w:r>
        <w:t xml:space="preserve"> Statement - a statement that shows the inflows and outflows of cash during the year reconciled to the </w:t>
      </w:r>
      <w:proofErr w:type="spellStart"/>
      <w:r>
        <w:t>year end</w:t>
      </w:r>
      <w:proofErr w:type="spellEnd"/>
      <w:r>
        <w:t xml:space="preserve"> cash position.</w:t>
      </w:r>
    </w:p>
    <w:p w:rsidR="00E37B28" w:rsidRDefault="00E37B28" w:rsidP="00577DA8">
      <w:pPr>
        <w:pStyle w:val="ListParagraph"/>
        <w:numPr>
          <w:ilvl w:val="0"/>
          <w:numId w:val="26"/>
        </w:numPr>
        <w:ind w:right="43"/>
      </w:pPr>
      <w:r>
        <w:t>The Housing Revenue Account - a statement which brings together all transactions during the year in relation to the management and maintenance of the Council’s 7,</w:t>
      </w:r>
      <w:r w:rsidR="00577A67">
        <w:t>696</w:t>
      </w:r>
      <w:r>
        <w:t xml:space="preserve"> dwelling stock.</w:t>
      </w:r>
    </w:p>
    <w:p w:rsidR="00E37B28" w:rsidRDefault="00E37B28" w:rsidP="00577DA8">
      <w:pPr>
        <w:pStyle w:val="ListParagraph"/>
        <w:numPr>
          <w:ilvl w:val="0"/>
          <w:numId w:val="26"/>
        </w:numPr>
        <w:ind w:right="43"/>
      </w:pPr>
      <w:r>
        <w:t>Collection Fund - a statement which brings together all transactions during the year relating to the collection of Business Rates and Council Tax income together with payments and receipts from Government and payments made to the preceptors; the County Council, Police and Crime Commissioner (Thames Valley) and Parish Councils.</w:t>
      </w:r>
    </w:p>
    <w:p w:rsidR="00E37B28" w:rsidRDefault="00E37B28" w:rsidP="00577DA8">
      <w:pPr>
        <w:pStyle w:val="ListParagraph"/>
        <w:numPr>
          <w:ilvl w:val="0"/>
          <w:numId w:val="26"/>
        </w:numPr>
        <w:ind w:right="43"/>
      </w:pPr>
      <w:r>
        <w:t>Group Accounts - statements which reflect the Council’s 50% interest with Grosvenor Developments Limited in a joint venture for the construction of dwellings at Barton, a 50% interest with Nuffield College in a joint venture for the regeneration of the West End area of Oxford, (</w:t>
      </w:r>
      <w:proofErr w:type="spellStart"/>
      <w:r>
        <w:t>OxWED</w:t>
      </w:r>
      <w:proofErr w:type="spellEnd"/>
      <w:r>
        <w:t>) and the Council’s wholly owned Housing Company Group, Oxford City Housing Ltd (OCHL). The Council’s share of the assets and liabilities of these entities are required to be incorporated into the Council’s accounts.</w:t>
      </w:r>
    </w:p>
    <w:p w:rsidR="00B73B72" w:rsidRPr="00B17F2F" w:rsidRDefault="00E37B28" w:rsidP="00577DA8">
      <w:pPr>
        <w:pStyle w:val="ListParagraph"/>
        <w:numPr>
          <w:ilvl w:val="0"/>
          <w:numId w:val="27"/>
        </w:numPr>
        <w:ind w:right="43"/>
      </w:pPr>
      <w:r>
        <w:t xml:space="preserve">The Statement of Accounting Policies, setting out the detailed rules under which we account for assets, liabilities, income and expenditure (pages </w:t>
      </w:r>
      <w:r w:rsidRPr="00B17F2F">
        <w:t>1</w:t>
      </w:r>
      <w:r w:rsidR="00B17F2F" w:rsidRPr="00B17F2F">
        <w:t>27 to 144</w:t>
      </w:r>
      <w:r w:rsidRPr="00B17F2F">
        <w:t>).</w:t>
      </w:r>
    </w:p>
    <w:p w:rsidR="00577DA8" w:rsidRDefault="00577DA8" w:rsidP="00577DA8">
      <w:pPr>
        <w:ind w:left="426" w:right="43"/>
      </w:pPr>
    </w:p>
    <w:p w:rsidR="00577DA8" w:rsidRDefault="00AF5EEC" w:rsidP="00577DA8">
      <w:pPr>
        <w:ind w:right="43"/>
        <w:rPr>
          <w:b/>
        </w:rPr>
      </w:pPr>
      <w:r>
        <w:rPr>
          <w:b/>
        </w:rPr>
        <w:t>Summary</w:t>
      </w:r>
      <w:r w:rsidR="008D7861">
        <w:rPr>
          <w:b/>
        </w:rPr>
        <w:t xml:space="preserve"> of Information Found Within the Statements</w:t>
      </w:r>
    </w:p>
    <w:p w:rsidR="00577DA8" w:rsidRPr="00577DA8" w:rsidRDefault="00577DA8" w:rsidP="00577DA8">
      <w:pPr>
        <w:ind w:right="43"/>
      </w:pPr>
    </w:p>
    <w:p w:rsidR="00577DA8" w:rsidRDefault="00AF5EEC" w:rsidP="00577DA8">
      <w:pPr>
        <w:numPr>
          <w:ilvl w:val="0"/>
          <w:numId w:val="22"/>
        </w:numPr>
        <w:ind w:right="43"/>
      </w:pPr>
      <w:r>
        <w:t xml:space="preserve">Some Key information can be gained from the </w:t>
      </w:r>
      <w:r w:rsidR="008D7861">
        <w:t>Statement</w:t>
      </w:r>
      <w:r>
        <w:t>s</w:t>
      </w:r>
      <w:r w:rsidR="00577DA8" w:rsidRPr="00B66B8B">
        <w:t>:</w:t>
      </w:r>
    </w:p>
    <w:p w:rsidR="00B66B8B" w:rsidRDefault="00B66B8B" w:rsidP="00B73B72">
      <w:pPr>
        <w:ind w:left="426" w:right="43"/>
      </w:pPr>
    </w:p>
    <w:p w:rsidR="00B66B8B" w:rsidRDefault="00B66B8B" w:rsidP="00B73B72">
      <w:pPr>
        <w:ind w:left="426" w:right="43"/>
        <w:rPr>
          <w:u w:val="single"/>
        </w:rPr>
      </w:pPr>
      <w:r w:rsidRPr="00B17F2F">
        <w:rPr>
          <w:u w:val="single"/>
        </w:rPr>
        <w:t>C</w:t>
      </w:r>
      <w:r w:rsidR="00AF5EEC" w:rsidRPr="00B17F2F">
        <w:rPr>
          <w:u w:val="single"/>
        </w:rPr>
        <w:t xml:space="preserve">omprehensive </w:t>
      </w:r>
      <w:r w:rsidRPr="00B17F2F">
        <w:rPr>
          <w:u w:val="single"/>
        </w:rPr>
        <w:t>I</w:t>
      </w:r>
      <w:r w:rsidR="00AF5EEC" w:rsidRPr="00B17F2F">
        <w:rPr>
          <w:u w:val="single"/>
        </w:rPr>
        <w:t xml:space="preserve">ncome and Expenditure Statement </w:t>
      </w:r>
      <w:r w:rsidR="00980FB3" w:rsidRPr="00B17F2F">
        <w:rPr>
          <w:u w:val="single"/>
        </w:rPr>
        <w:t xml:space="preserve">(CI&amp;E) </w:t>
      </w:r>
      <w:r w:rsidRPr="00B17F2F">
        <w:rPr>
          <w:u w:val="single"/>
        </w:rPr>
        <w:t>(page 23)</w:t>
      </w:r>
    </w:p>
    <w:p w:rsidR="00C82B3B" w:rsidRPr="00C82B3B" w:rsidRDefault="00C82B3B" w:rsidP="00B73B72">
      <w:pPr>
        <w:ind w:left="426" w:right="43"/>
      </w:pPr>
    </w:p>
    <w:p w:rsidR="00B66B8B" w:rsidRPr="002161FE" w:rsidRDefault="00AF5EEC" w:rsidP="00B17F2F">
      <w:pPr>
        <w:numPr>
          <w:ilvl w:val="0"/>
          <w:numId w:val="22"/>
        </w:numPr>
        <w:ind w:right="43"/>
      </w:pPr>
      <w:r w:rsidRPr="002161FE">
        <w:lastRenderedPageBreak/>
        <w:t xml:space="preserve">There is a </w:t>
      </w:r>
      <w:r w:rsidR="00B17F2F" w:rsidRPr="002161FE">
        <w:t xml:space="preserve">loss of </w:t>
      </w:r>
      <w:r w:rsidR="00B66B8B" w:rsidRPr="002161FE">
        <w:t>£</w:t>
      </w:r>
      <w:r w:rsidR="002161FE" w:rsidRPr="002161FE">
        <w:t>59.3</w:t>
      </w:r>
      <w:r w:rsidR="00B66B8B" w:rsidRPr="002161FE">
        <w:t>m compared to</w:t>
      </w:r>
      <w:r w:rsidR="00B17F2F" w:rsidRPr="002161FE">
        <w:t xml:space="preserve"> </w:t>
      </w:r>
      <w:r w:rsidR="002161FE" w:rsidRPr="002161FE">
        <w:t xml:space="preserve">a </w:t>
      </w:r>
      <w:r w:rsidR="00B17F2F" w:rsidRPr="002161FE">
        <w:t>surplus of</w:t>
      </w:r>
      <w:r w:rsidR="00B66B8B" w:rsidRPr="002161FE">
        <w:t xml:space="preserve"> £</w:t>
      </w:r>
      <w:r w:rsidR="002161FE" w:rsidRPr="002161FE">
        <w:t>73.5</w:t>
      </w:r>
      <w:r w:rsidR="00B66B8B" w:rsidRPr="002161FE">
        <w:t xml:space="preserve">m in the </w:t>
      </w:r>
      <w:r w:rsidR="006277D2" w:rsidRPr="002161FE">
        <w:t>previous</w:t>
      </w:r>
      <w:r w:rsidR="006277D2">
        <w:t xml:space="preserve"> year</w:t>
      </w:r>
      <w:r>
        <w:t xml:space="preserve">.  </w:t>
      </w:r>
      <w:r w:rsidR="006277D2">
        <w:t>However</w:t>
      </w:r>
      <w:r>
        <w:t xml:space="preserve"> surplus is based on standard accounting practice and doesn’t reflect the statutory basis under which the Council has to manage its finances.  The actual position after applying the </w:t>
      </w:r>
      <w:r w:rsidR="006277D2">
        <w:t xml:space="preserve">statutory </w:t>
      </w:r>
      <w:r w:rsidR="00577DA8">
        <w:t>adjustments</w:t>
      </w:r>
      <w:r w:rsidR="006277D2">
        <w:t xml:space="preserve"> </w:t>
      </w:r>
      <w:r>
        <w:t xml:space="preserve">is </w:t>
      </w:r>
      <w:r w:rsidR="006277D2">
        <w:t xml:space="preserve">summarised on </w:t>
      </w:r>
      <w:r w:rsidR="006277D2" w:rsidRPr="002161FE">
        <w:t>the M</w:t>
      </w:r>
      <w:r w:rsidRPr="002161FE">
        <w:t xml:space="preserve">ovement in Reserves Statement </w:t>
      </w:r>
      <w:r w:rsidR="006277D2" w:rsidRPr="002161FE">
        <w:t>(page 25)</w:t>
      </w:r>
      <w:r w:rsidR="00980FB3" w:rsidRPr="002161FE">
        <w:t>.</w:t>
      </w:r>
    </w:p>
    <w:p w:rsidR="00625E90" w:rsidRDefault="00625E90" w:rsidP="00B73B72">
      <w:pPr>
        <w:ind w:left="426" w:right="43"/>
      </w:pPr>
    </w:p>
    <w:p w:rsidR="00625E90" w:rsidRPr="00980FB3" w:rsidRDefault="00625E90" w:rsidP="00B73B72">
      <w:pPr>
        <w:ind w:left="426" w:right="43"/>
        <w:rPr>
          <w:u w:val="single"/>
        </w:rPr>
      </w:pPr>
      <w:r w:rsidRPr="002161FE">
        <w:rPr>
          <w:u w:val="single"/>
        </w:rPr>
        <w:t>M</w:t>
      </w:r>
      <w:r w:rsidR="00980FB3" w:rsidRPr="002161FE">
        <w:rPr>
          <w:u w:val="single"/>
        </w:rPr>
        <w:t>ovement in Reserves Statement (</w:t>
      </w:r>
      <w:proofErr w:type="spellStart"/>
      <w:r w:rsidR="00980FB3" w:rsidRPr="002161FE">
        <w:rPr>
          <w:u w:val="single"/>
        </w:rPr>
        <w:t>M</w:t>
      </w:r>
      <w:r w:rsidRPr="002161FE">
        <w:rPr>
          <w:u w:val="single"/>
        </w:rPr>
        <w:t>iRS</w:t>
      </w:r>
      <w:proofErr w:type="spellEnd"/>
      <w:r w:rsidR="00980FB3" w:rsidRPr="002161FE">
        <w:rPr>
          <w:u w:val="single"/>
        </w:rPr>
        <w:t xml:space="preserve">) </w:t>
      </w:r>
      <w:r w:rsidRPr="002161FE">
        <w:rPr>
          <w:u w:val="single"/>
        </w:rPr>
        <w:t>(page 25)</w:t>
      </w:r>
    </w:p>
    <w:p w:rsidR="00625E90" w:rsidRDefault="00625E90" w:rsidP="00B73B72">
      <w:pPr>
        <w:ind w:left="426" w:right="43"/>
      </w:pPr>
    </w:p>
    <w:p w:rsidR="00980FB3" w:rsidRDefault="00980FB3" w:rsidP="00B73B72">
      <w:pPr>
        <w:numPr>
          <w:ilvl w:val="0"/>
          <w:numId w:val="22"/>
        </w:numPr>
        <w:ind w:left="426" w:right="43"/>
      </w:pPr>
      <w:r>
        <w:t xml:space="preserve">The </w:t>
      </w:r>
      <w:proofErr w:type="spellStart"/>
      <w:r>
        <w:t>MiRS</w:t>
      </w:r>
      <w:proofErr w:type="spellEnd"/>
      <w:r>
        <w:t xml:space="preserve"> shows the movement between the accounting position shown in the CI&amp;E and the </w:t>
      </w:r>
      <w:r w:rsidRPr="00980FB3">
        <w:t>overall balances available to the Council to meet future capital and revenue expenditure</w:t>
      </w:r>
      <w:r>
        <w:t xml:space="preserve">.  </w:t>
      </w:r>
      <w:r w:rsidRPr="00980FB3">
        <w:t>The adjustments are s</w:t>
      </w:r>
      <w:r>
        <w:t>h</w:t>
      </w:r>
      <w:r w:rsidRPr="00980FB3">
        <w:t xml:space="preserve">own in more detail </w:t>
      </w:r>
      <w:r w:rsidRPr="002161FE">
        <w:t>in note 8 (pages 3</w:t>
      </w:r>
      <w:r w:rsidR="002161FE" w:rsidRPr="002161FE">
        <w:t>9</w:t>
      </w:r>
      <w:r w:rsidRPr="002161FE">
        <w:t xml:space="preserve"> to 4</w:t>
      </w:r>
      <w:r w:rsidR="002161FE" w:rsidRPr="002161FE">
        <w:t>3</w:t>
      </w:r>
      <w:r w:rsidRPr="002161FE">
        <w:t>) which are made that result in the allocation of the</w:t>
      </w:r>
      <w:r w:rsidRPr="00980FB3">
        <w:t xml:space="preserve"> surplus between</w:t>
      </w:r>
      <w:r w:rsidR="00CE2DAC">
        <w:t xml:space="preserve"> usable and unusable reserves.</w:t>
      </w:r>
    </w:p>
    <w:p w:rsidR="00C82B3B" w:rsidRDefault="00C82B3B" w:rsidP="00C82B3B">
      <w:pPr>
        <w:ind w:left="426" w:right="43"/>
      </w:pPr>
    </w:p>
    <w:p w:rsidR="006277D2" w:rsidRDefault="006277D2" w:rsidP="00B73B72">
      <w:pPr>
        <w:numPr>
          <w:ilvl w:val="0"/>
          <w:numId w:val="22"/>
        </w:numPr>
        <w:ind w:left="426" w:right="43"/>
      </w:pPr>
      <w:r>
        <w:t xml:space="preserve">The overall </w:t>
      </w:r>
      <w:r w:rsidR="00980FB3">
        <w:t>balances</w:t>
      </w:r>
      <w:r>
        <w:t xml:space="preserve"> available to the Council </w:t>
      </w:r>
      <w:r w:rsidRPr="006277D2">
        <w:t>to meet future capital and revenue expenditure</w:t>
      </w:r>
      <w:r>
        <w:t xml:space="preserve"> </w:t>
      </w:r>
      <w:r w:rsidR="00980FB3">
        <w:t>are shown below</w:t>
      </w:r>
      <w:r>
        <w:t>:</w:t>
      </w:r>
    </w:p>
    <w:p w:rsidR="00C82B3B" w:rsidRDefault="00C82B3B" w:rsidP="00C82B3B">
      <w:pPr>
        <w:pStyle w:val="ListParagraph"/>
      </w:pPr>
    </w:p>
    <w:p w:rsidR="00CE2DAC" w:rsidRDefault="00CE2DAC" w:rsidP="00CE2DAC">
      <w:pPr>
        <w:pStyle w:val="ListParagraph"/>
        <w:ind w:left="426"/>
      </w:pPr>
      <w:r w:rsidRPr="00CE2DAC">
        <w:rPr>
          <w:noProof/>
          <w:lang w:eastAsia="en-GB"/>
        </w:rPr>
        <w:drawing>
          <wp:inline distT="0" distB="0" distL="0" distR="0" wp14:anchorId="6E4E4865" wp14:editId="4C3C2E0C">
            <wp:extent cx="5518150" cy="1905298"/>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18150" cy="1905298"/>
                    </a:xfrm>
                    <a:prstGeom prst="rect">
                      <a:avLst/>
                    </a:prstGeom>
                    <a:noFill/>
                    <a:ln>
                      <a:noFill/>
                    </a:ln>
                  </pic:spPr>
                </pic:pic>
              </a:graphicData>
            </a:graphic>
          </wp:inline>
        </w:drawing>
      </w:r>
    </w:p>
    <w:p w:rsidR="00625E90" w:rsidRDefault="00625E90" w:rsidP="00B73B72">
      <w:pPr>
        <w:ind w:left="426" w:right="43"/>
      </w:pPr>
    </w:p>
    <w:p w:rsidR="00625E90" w:rsidRPr="00CE2DAC" w:rsidRDefault="00625E90" w:rsidP="00B73B72">
      <w:pPr>
        <w:numPr>
          <w:ilvl w:val="0"/>
          <w:numId w:val="22"/>
        </w:numPr>
        <w:ind w:left="426" w:right="43"/>
      </w:pPr>
      <w:r>
        <w:t xml:space="preserve">More detail regarding the earmarked reserves can be seen in note 9 on </w:t>
      </w:r>
      <w:r w:rsidRPr="00CE2DAC">
        <w:t>pages 4</w:t>
      </w:r>
      <w:r w:rsidR="00CE2DAC" w:rsidRPr="00CE2DAC">
        <w:t>4</w:t>
      </w:r>
      <w:r w:rsidRPr="00CE2DAC">
        <w:t xml:space="preserve"> to 4</w:t>
      </w:r>
      <w:r w:rsidR="00CE2DAC" w:rsidRPr="00CE2DAC">
        <w:t>6</w:t>
      </w:r>
      <w:r w:rsidRPr="00CE2DAC">
        <w:t>.</w:t>
      </w:r>
    </w:p>
    <w:p w:rsidR="00625E90" w:rsidRDefault="00625E90" w:rsidP="00B73B72">
      <w:pPr>
        <w:ind w:left="426" w:right="43"/>
      </w:pPr>
    </w:p>
    <w:p w:rsidR="00625E90" w:rsidRPr="00980FB3" w:rsidRDefault="00625E90" w:rsidP="00B73B72">
      <w:pPr>
        <w:ind w:left="426" w:right="43"/>
        <w:rPr>
          <w:u w:val="single"/>
        </w:rPr>
      </w:pPr>
      <w:r w:rsidRPr="00CE2DAC">
        <w:rPr>
          <w:u w:val="single"/>
        </w:rPr>
        <w:t>The Balance Sheet (page 26)</w:t>
      </w:r>
    </w:p>
    <w:p w:rsidR="00980FB3" w:rsidRDefault="00980FB3" w:rsidP="00B73B72">
      <w:pPr>
        <w:ind w:left="426" w:right="43"/>
      </w:pPr>
    </w:p>
    <w:p w:rsidR="00625E90" w:rsidRDefault="00625E90" w:rsidP="00B73B72">
      <w:pPr>
        <w:numPr>
          <w:ilvl w:val="0"/>
          <w:numId w:val="22"/>
        </w:numPr>
        <w:ind w:left="426" w:right="43"/>
      </w:pPr>
      <w:r>
        <w:t xml:space="preserve">The </w:t>
      </w:r>
      <w:r w:rsidR="00980FB3">
        <w:t>Balance S</w:t>
      </w:r>
      <w:r>
        <w:t>heet shows an increase in the net worth of the Council which can be summarised as below:</w:t>
      </w:r>
    </w:p>
    <w:tbl>
      <w:tblPr>
        <w:tblW w:w="8880" w:type="dxa"/>
        <w:tblInd w:w="93" w:type="dxa"/>
        <w:tblLook w:val="04A0" w:firstRow="1" w:lastRow="0" w:firstColumn="1" w:lastColumn="0" w:noHBand="0" w:noVBand="1"/>
      </w:tblPr>
      <w:tblGrid>
        <w:gridCol w:w="4860"/>
        <w:gridCol w:w="1340"/>
        <w:gridCol w:w="1340"/>
        <w:gridCol w:w="1340"/>
      </w:tblGrid>
      <w:tr w:rsidR="00BC76F9" w:rsidRPr="00BC76F9" w:rsidTr="00BC76F9">
        <w:trPr>
          <w:trHeight w:val="285"/>
        </w:trPr>
        <w:tc>
          <w:tcPr>
            <w:tcW w:w="4860" w:type="dxa"/>
            <w:tcBorders>
              <w:top w:val="nil"/>
              <w:left w:val="nil"/>
              <w:bottom w:val="nil"/>
              <w:right w:val="nil"/>
            </w:tcBorders>
            <w:shd w:val="clear" w:color="000000" w:fill="FFFFFF"/>
            <w:noWrap/>
            <w:vAlign w:val="bottom"/>
            <w:hideMark/>
          </w:tcPr>
          <w:p w:rsidR="00BC76F9" w:rsidRPr="00BC76F9" w:rsidRDefault="00BC76F9" w:rsidP="00BC76F9">
            <w:pPr>
              <w:rPr>
                <w:rFonts w:cs="Arial"/>
                <w:color w:val="000000"/>
                <w:sz w:val="20"/>
                <w:szCs w:val="20"/>
                <w:lang w:eastAsia="en-GB"/>
              </w:rPr>
            </w:pPr>
            <w:r w:rsidRPr="00BC76F9">
              <w:rPr>
                <w:rFonts w:cs="Arial"/>
                <w:color w:val="000000"/>
                <w:sz w:val="20"/>
                <w:szCs w:val="20"/>
                <w:lang w:eastAsia="en-GB"/>
              </w:rPr>
              <w:t> </w:t>
            </w:r>
          </w:p>
        </w:tc>
        <w:tc>
          <w:tcPr>
            <w:tcW w:w="1340" w:type="dxa"/>
            <w:tcBorders>
              <w:top w:val="nil"/>
              <w:left w:val="nil"/>
              <w:bottom w:val="nil"/>
              <w:right w:val="nil"/>
            </w:tcBorders>
            <w:shd w:val="clear" w:color="000000" w:fill="FFFF99"/>
            <w:noWrap/>
            <w:vAlign w:val="bottom"/>
            <w:hideMark/>
          </w:tcPr>
          <w:p w:rsidR="00BC76F9" w:rsidRPr="00BC76F9" w:rsidRDefault="00BC76F9" w:rsidP="00BC76F9">
            <w:pPr>
              <w:jc w:val="center"/>
              <w:rPr>
                <w:rFonts w:cs="Arial"/>
                <w:b/>
                <w:bCs/>
                <w:color w:val="000000"/>
                <w:sz w:val="20"/>
                <w:szCs w:val="20"/>
                <w:lang w:eastAsia="en-GB"/>
              </w:rPr>
            </w:pPr>
            <w:r w:rsidRPr="00BC76F9">
              <w:rPr>
                <w:rFonts w:cs="Arial"/>
                <w:b/>
                <w:bCs/>
                <w:color w:val="000000"/>
                <w:sz w:val="20"/>
                <w:szCs w:val="20"/>
                <w:lang w:eastAsia="en-GB"/>
              </w:rPr>
              <w:t>2018/19</w:t>
            </w:r>
          </w:p>
        </w:tc>
        <w:tc>
          <w:tcPr>
            <w:tcW w:w="1340" w:type="dxa"/>
            <w:tcBorders>
              <w:top w:val="nil"/>
              <w:left w:val="nil"/>
              <w:bottom w:val="nil"/>
              <w:right w:val="nil"/>
            </w:tcBorders>
            <w:shd w:val="clear" w:color="000000" w:fill="BFBFBF"/>
            <w:noWrap/>
            <w:vAlign w:val="bottom"/>
            <w:hideMark/>
          </w:tcPr>
          <w:p w:rsidR="00BC76F9" w:rsidRPr="00BC76F9" w:rsidRDefault="00BC76F9" w:rsidP="00BC76F9">
            <w:pPr>
              <w:jc w:val="center"/>
              <w:rPr>
                <w:rFonts w:cs="Arial"/>
                <w:b/>
                <w:bCs/>
                <w:color w:val="000000"/>
                <w:sz w:val="20"/>
                <w:szCs w:val="20"/>
                <w:lang w:eastAsia="en-GB"/>
              </w:rPr>
            </w:pPr>
            <w:r w:rsidRPr="00BC76F9">
              <w:rPr>
                <w:rFonts w:cs="Arial"/>
                <w:b/>
                <w:bCs/>
                <w:color w:val="000000"/>
                <w:sz w:val="20"/>
                <w:szCs w:val="20"/>
                <w:lang w:eastAsia="en-GB"/>
              </w:rPr>
              <w:t>2017/18</w:t>
            </w:r>
          </w:p>
        </w:tc>
        <w:tc>
          <w:tcPr>
            <w:tcW w:w="1340" w:type="dxa"/>
            <w:tcBorders>
              <w:top w:val="nil"/>
              <w:left w:val="nil"/>
              <w:bottom w:val="nil"/>
              <w:right w:val="nil"/>
            </w:tcBorders>
            <w:shd w:val="clear" w:color="000000" w:fill="FFFFFF"/>
            <w:noWrap/>
            <w:vAlign w:val="bottom"/>
            <w:hideMark/>
          </w:tcPr>
          <w:p w:rsidR="00BC76F9" w:rsidRPr="00BC76F9" w:rsidRDefault="00BC76F9" w:rsidP="00BC76F9">
            <w:pPr>
              <w:jc w:val="center"/>
              <w:rPr>
                <w:rFonts w:cs="Arial"/>
                <w:b/>
                <w:bCs/>
                <w:color w:val="000000"/>
                <w:sz w:val="20"/>
                <w:szCs w:val="20"/>
                <w:lang w:eastAsia="en-GB"/>
              </w:rPr>
            </w:pPr>
            <w:r w:rsidRPr="00BC76F9">
              <w:rPr>
                <w:rFonts w:cs="Arial"/>
                <w:b/>
                <w:bCs/>
                <w:color w:val="000000"/>
                <w:sz w:val="20"/>
                <w:szCs w:val="20"/>
                <w:lang w:eastAsia="en-GB"/>
              </w:rPr>
              <w:t>Variation</w:t>
            </w:r>
          </w:p>
        </w:tc>
      </w:tr>
      <w:tr w:rsidR="00BC76F9" w:rsidRPr="00BC76F9" w:rsidTr="00BC76F9">
        <w:trPr>
          <w:trHeight w:val="285"/>
        </w:trPr>
        <w:tc>
          <w:tcPr>
            <w:tcW w:w="4860" w:type="dxa"/>
            <w:tcBorders>
              <w:top w:val="nil"/>
              <w:left w:val="nil"/>
              <w:bottom w:val="nil"/>
              <w:right w:val="nil"/>
            </w:tcBorders>
            <w:shd w:val="clear" w:color="000000" w:fill="FFFFFF"/>
            <w:noWrap/>
            <w:vAlign w:val="bottom"/>
            <w:hideMark/>
          </w:tcPr>
          <w:p w:rsidR="00BC76F9" w:rsidRPr="00BC76F9" w:rsidRDefault="00BC76F9" w:rsidP="00BC76F9">
            <w:pPr>
              <w:rPr>
                <w:rFonts w:cs="Arial"/>
                <w:color w:val="000000"/>
                <w:sz w:val="20"/>
                <w:szCs w:val="20"/>
                <w:lang w:eastAsia="en-GB"/>
              </w:rPr>
            </w:pPr>
            <w:r w:rsidRPr="00BC76F9">
              <w:rPr>
                <w:rFonts w:cs="Arial"/>
                <w:color w:val="000000"/>
                <w:sz w:val="20"/>
                <w:szCs w:val="20"/>
                <w:lang w:eastAsia="en-GB"/>
              </w:rPr>
              <w:t> </w:t>
            </w:r>
          </w:p>
        </w:tc>
        <w:tc>
          <w:tcPr>
            <w:tcW w:w="1340" w:type="dxa"/>
            <w:tcBorders>
              <w:top w:val="nil"/>
              <w:left w:val="nil"/>
              <w:bottom w:val="single" w:sz="4" w:space="0" w:color="auto"/>
              <w:right w:val="nil"/>
            </w:tcBorders>
            <w:shd w:val="clear" w:color="000000" w:fill="FFFF99"/>
            <w:noWrap/>
            <w:vAlign w:val="bottom"/>
            <w:hideMark/>
          </w:tcPr>
          <w:p w:rsidR="00BC76F9" w:rsidRPr="00BC76F9" w:rsidRDefault="00BC76F9" w:rsidP="00BC76F9">
            <w:pPr>
              <w:jc w:val="center"/>
              <w:rPr>
                <w:rFonts w:cs="Arial"/>
                <w:b/>
                <w:bCs/>
                <w:color w:val="000000"/>
                <w:sz w:val="20"/>
                <w:szCs w:val="20"/>
                <w:lang w:eastAsia="en-GB"/>
              </w:rPr>
            </w:pPr>
            <w:r w:rsidRPr="00BC76F9">
              <w:rPr>
                <w:rFonts w:cs="Arial"/>
                <w:b/>
                <w:bCs/>
                <w:color w:val="000000"/>
                <w:sz w:val="20"/>
                <w:szCs w:val="20"/>
                <w:lang w:eastAsia="en-GB"/>
              </w:rPr>
              <w:t>£'000</w:t>
            </w:r>
          </w:p>
        </w:tc>
        <w:tc>
          <w:tcPr>
            <w:tcW w:w="1340" w:type="dxa"/>
            <w:tcBorders>
              <w:top w:val="nil"/>
              <w:left w:val="nil"/>
              <w:bottom w:val="single" w:sz="4" w:space="0" w:color="auto"/>
              <w:right w:val="nil"/>
            </w:tcBorders>
            <w:shd w:val="clear" w:color="000000" w:fill="BFBFBF"/>
            <w:noWrap/>
            <w:vAlign w:val="bottom"/>
            <w:hideMark/>
          </w:tcPr>
          <w:p w:rsidR="00BC76F9" w:rsidRPr="00BC76F9" w:rsidRDefault="00BC76F9" w:rsidP="00BC76F9">
            <w:pPr>
              <w:jc w:val="center"/>
              <w:rPr>
                <w:rFonts w:cs="Arial"/>
                <w:b/>
                <w:bCs/>
                <w:color w:val="000000"/>
                <w:sz w:val="20"/>
                <w:szCs w:val="20"/>
                <w:lang w:eastAsia="en-GB"/>
              </w:rPr>
            </w:pPr>
            <w:r w:rsidRPr="00BC76F9">
              <w:rPr>
                <w:rFonts w:cs="Arial"/>
                <w:b/>
                <w:bCs/>
                <w:color w:val="000000"/>
                <w:sz w:val="20"/>
                <w:szCs w:val="20"/>
                <w:lang w:eastAsia="en-GB"/>
              </w:rPr>
              <w:t>£'000</w:t>
            </w:r>
          </w:p>
        </w:tc>
        <w:tc>
          <w:tcPr>
            <w:tcW w:w="1340" w:type="dxa"/>
            <w:tcBorders>
              <w:top w:val="nil"/>
              <w:left w:val="nil"/>
              <w:bottom w:val="single" w:sz="4" w:space="0" w:color="auto"/>
              <w:right w:val="nil"/>
            </w:tcBorders>
            <w:shd w:val="clear" w:color="000000" w:fill="FFFFFF"/>
            <w:noWrap/>
            <w:vAlign w:val="bottom"/>
            <w:hideMark/>
          </w:tcPr>
          <w:p w:rsidR="00BC76F9" w:rsidRPr="00BC76F9" w:rsidRDefault="00BC76F9" w:rsidP="00BC76F9">
            <w:pPr>
              <w:jc w:val="center"/>
              <w:rPr>
                <w:rFonts w:cs="Arial"/>
                <w:b/>
                <w:bCs/>
                <w:color w:val="000000"/>
                <w:sz w:val="20"/>
                <w:szCs w:val="20"/>
                <w:lang w:eastAsia="en-GB"/>
              </w:rPr>
            </w:pPr>
            <w:r w:rsidRPr="00BC76F9">
              <w:rPr>
                <w:rFonts w:cs="Arial"/>
                <w:b/>
                <w:bCs/>
                <w:color w:val="000000"/>
                <w:sz w:val="20"/>
                <w:szCs w:val="20"/>
                <w:lang w:eastAsia="en-GB"/>
              </w:rPr>
              <w:t>£'000</w:t>
            </w:r>
          </w:p>
        </w:tc>
      </w:tr>
      <w:tr w:rsidR="00BC76F9" w:rsidRPr="00BC76F9" w:rsidTr="00BC76F9">
        <w:trPr>
          <w:trHeight w:val="285"/>
        </w:trPr>
        <w:tc>
          <w:tcPr>
            <w:tcW w:w="4860" w:type="dxa"/>
            <w:tcBorders>
              <w:top w:val="nil"/>
              <w:left w:val="nil"/>
              <w:bottom w:val="nil"/>
              <w:right w:val="nil"/>
            </w:tcBorders>
            <w:shd w:val="clear" w:color="000000" w:fill="FFFFFF"/>
            <w:noWrap/>
            <w:vAlign w:val="bottom"/>
            <w:hideMark/>
          </w:tcPr>
          <w:p w:rsidR="00BC76F9" w:rsidRPr="00BC76F9" w:rsidRDefault="00BC76F9" w:rsidP="00BC76F9">
            <w:pPr>
              <w:rPr>
                <w:rFonts w:cs="Arial"/>
                <w:color w:val="000000"/>
                <w:sz w:val="20"/>
                <w:szCs w:val="20"/>
                <w:lang w:eastAsia="en-GB"/>
              </w:rPr>
            </w:pPr>
            <w:r w:rsidRPr="00BC76F9">
              <w:rPr>
                <w:rFonts w:cs="Arial"/>
                <w:color w:val="000000"/>
                <w:sz w:val="20"/>
                <w:szCs w:val="20"/>
                <w:lang w:eastAsia="en-GB"/>
              </w:rPr>
              <w:t>Value of Land and Property Owned</w:t>
            </w:r>
          </w:p>
        </w:tc>
        <w:tc>
          <w:tcPr>
            <w:tcW w:w="1340" w:type="dxa"/>
            <w:tcBorders>
              <w:top w:val="nil"/>
              <w:left w:val="nil"/>
              <w:bottom w:val="nil"/>
              <w:right w:val="nil"/>
            </w:tcBorders>
            <w:shd w:val="clear" w:color="000000" w:fill="FFFF99"/>
            <w:noWrap/>
            <w:vAlign w:val="bottom"/>
            <w:hideMark/>
          </w:tcPr>
          <w:p w:rsidR="00BC76F9" w:rsidRPr="00BC76F9" w:rsidRDefault="00BC76F9" w:rsidP="00BC76F9">
            <w:pPr>
              <w:jc w:val="right"/>
              <w:rPr>
                <w:rFonts w:cs="Arial"/>
                <w:color w:val="000000"/>
                <w:sz w:val="20"/>
                <w:szCs w:val="20"/>
                <w:lang w:eastAsia="en-GB"/>
              </w:rPr>
            </w:pPr>
            <w:r w:rsidRPr="00BC76F9">
              <w:rPr>
                <w:rFonts w:cs="Arial"/>
                <w:color w:val="000000"/>
                <w:sz w:val="20"/>
                <w:szCs w:val="20"/>
                <w:lang w:eastAsia="en-GB"/>
              </w:rPr>
              <w:t xml:space="preserve">997,524 </w:t>
            </w:r>
          </w:p>
        </w:tc>
        <w:tc>
          <w:tcPr>
            <w:tcW w:w="1340" w:type="dxa"/>
            <w:tcBorders>
              <w:top w:val="nil"/>
              <w:left w:val="nil"/>
              <w:bottom w:val="nil"/>
              <w:right w:val="nil"/>
            </w:tcBorders>
            <w:shd w:val="clear" w:color="000000" w:fill="BFBFBF"/>
            <w:noWrap/>
            <w:vAlign w:val="bottom"/>
            <w:hideMark/>
          </w:tcPr>
          <w:p w:rsidR="00BC76F9" w:rsidRPr="00BC76F9" w:rsidRDefault="00BC76F9" w:rsidP="00BC76F9">
            <w:pPr>
              <w:jc w:val="right"/>
              <w:rPr>
                <w:rFonts w:cs="Arial"/>
                <w:color w:val="000000"/>
                <w:sz w:val="20"/>
                <w:szCs w:val="20"/>
                <w:lang w:eastAsia="en-GB"/>
              </w:rPr>
            </w:pPr>
            <w:r w:rsidRPr="00BC76F9">
              <w:rPr>
                <w:rFonts w:cs="Arial"/>
                <w:color w:val="000000"/>
                <w:sz w:val="20"/>
                <w:szCs w:val="20"/>
                <w:lang w:eastAsia="en-GB"/>
              </w:rPr>
              <w:t xml:space="preserve">1,033,424 </w:t>
            </w:r>
          </w:p>
        </w:tc>
        <w:tc>
          <w:tcPr>
            <w:tcW w:w="1340" w:type="dxa"/>
            <w:tcBorders>
              <w:top w:val="nil"/>
              <w:left w:val="nil"/>
              <w:bottom w:val="nil"/>
              <w:right w:val="nil"/>
            </w:tcBorders>
            <w:shd w:val="clear" w:color="000000" w:fill="FFFFFF"/>
            <w:noWrap/>
            <w:vAlign w:val="bottom"/>
            <w:hideMark/>
          </w:tcPr>
          <w:p w:rsidR="00BC76F9" w:rsidRPr="00BC76F9" w:rsidRDefault="00BC76F9" w:rsidP="00BC76F9">
            <w:pPr>
              <w:jc w:val="right"/>
              <w:rPr>
                <w:rFonts w:cs="Arial"/>
                <w:color w:val="000000"/>
                <w:sz w:val="20"/>
                <w:szCs w:val="20"/>
                <w:lang w:eastAsia="en-GB"/>
              </w:rPr>
            </w:pPr>
            <w:r w:rsidRPr="00BC76F9">
              <w:rPr>
                <w:rFonts w:cs="Arial"/>
                <w:color w:val="000000"/>
                <w:sz w:val="20"/>
                <w:szCs w:val="20"/>
                <w:lang w:eastAsia="en-GB"/>
              </w:rPr>
              <w:t>(35,900)</w:t>
            </w:r>
          </w:p>
        </w:tc>
      </w:tr>
      <w:tr w:rsidR="00BC76F9" w:rsidRPr="00BC76F9" w:rsidTr="00BC76F9">
        <w:trPr>
          <w:trHeight w:val="285"/>
        </w:trPr>
        <w:tc>
          <w:tcPr>
            <w:tcW w:w="4860" w:type="dxa"/>
            <w:tcBorders>
              <w:top w:val="nil"/>
              <w:left w:val="nil"/>
              <w:bottom w:val="nil"/>
              <w:right w:val="nil"/>
            </w:tcBorders>
            <w:shd w:val="clear" w:color="000000" w:fill="FFFFFF"/>
            <w:noWrap/>
            <w:vAlign w:val="bottom"/>
            <w:hideMark/>
          </w:tcPr>
          <w:p w:rsidR="00BC76F9" w:rsidRPr="00BC76F9" w:rsidRDefault="00BC76F9" w:rsidP="00BC76F9">
            <w:pPr>
              <w:rPr>
                <w:rFonts w:cs="Arial"/>
                <w:color w:val="000000"/>
                <w:sz w:val="20"/>
                <w:szCs w:val="20"/>
                <w:lang w:eastAsia="en-GB"/>
              </w:rPr>
            </w:pPr>
            <w:r w:rsidRPr="00BC76F9">
              <w:rPr>
                <w:rFonts w:cs="Arial"/>
                <w:color w:val="000000"/>
                <w:sz w:val="20"/>
                <w:szCs w:val="20"/>
                <w:lang w:eastAsia="en-GB"/>
              </w:rPr>
              <w:t>Cash Investments, Assets Held For Sale and Stock</w:t>
            </w:r>
          </w:p>
        </w:tc>
        <w:tc>
          <w:tcPr>
            <w:tcW w:w="1340" w:type="dxa"/>
            <w:tcBorders>
              <w:top w:val="nil"/>
              <w:left w:val="nil"/>
              <w:bottom w:val="nil"/>
              <w:right w:val="nil"/>
            </w:tcBorders>
            <w:shd w:val="clear" w:color="000000" w:fill="FFFF99"/>
            <w:noWrap/>
            <w:vAlign w:val="bottom"/>
            <w:hideMark/>
          </w:tcPr>
          <w:p w:rsidR="00BC76F9" w:rsidRPr="00BC76F9" w:rsidRDefault="00BC76F9" w:rsidP="00BC76F9">
            <w:pPr>
              <w:jc w:val="right"/>
              <w:rPr>
                <w:rFonts w:cs="Arial"/>
                <w:color w:val="000000"/>
                <w:sz w:val="20"/>
                <w:szCs w:val="20"/>
                <w:lang w:eastAsia="en-GB"/>
              </w:rPr>
            </w:pPr>
            <w:r w:rsidRPr="00BC76F9">
              <w:rPr>
                <w:rFonts w:cs="Arial"/>
                <w:color w:val="000000"/>
                <w:sz w:val="20"/>
                <w:szCs w:val="20"/>
                <w:lang w:eastAsia="en-GB"/>
              </w:rPr>
              <w:t xml:space="preserve">101,986 </w:t>
            </w:r>
          </w:p>
        </w:tc>
        <w:tc>
          <w:tcPr>
            <w:tcW w:w="1340" w:type="dxa"/>
            <w:tcBorders>
              <w:top w:val="nil"/>
              <w:left w:val="nil"/>
              <w:bottom w:val="nil"/>
              <w:right w:val="nil"/>
            </w:tcBorders>
            <w:shd w:val="clear" w:color="000000" w:fill="BFBFBF"/>
            <w:noWrap/>
            <w:vAlign w:val="bottom"/>
            <w:hideMark/>
          </w:tcPr>
          <w:p w:rsidR="00BC76F9" w:rsidRPr="00BC76F9" w:rsidRDefault="00BC76F9" w:rsidP="00BC76F9">
            <w:pPr>
              <w:jc w:val="right"/>
              <w:rPr>
                <w:rFonts w:cs="Arial"/>
                <w:color w:val="000000"/>
                <w:sz w:val="20"/>
                <w:szCs w:val="20"/>
                <w:lang w:eastAsia="en-GB"/>
              </w:rPr>
            </w:pPr>
            <w:r w:rsidRPr="00BC76F9">
              <w:rPr>
                <w:rFonts w:cs="Arial"/>
                <w:color w:val="000000"/>
                <w:sz w:val="20"/>
                <w:szCs w:val="20"/>
                <w:lang w:eastAsia="en-GB"/>
              </w:rPr>
              <w:t xml:space="preserve">89,873 </w:t>
            </w:r>
          </w:p>
        </w:tc>
        <w:tc>
          <w:tcPr>
            <w:tcW w:w="1340" w:type="dxa"/>
            <w:tcBorders>
              <w:top w:val="nil"/>
              <w:left w:val="nil"/>
              <w:bottom w:val="nil"/>
              <w:right w:val="nil"/>
            </w:tcBorders>
            <w:shd w:val="clear" w:color="000000" w:fill="FFFFFF"/>
            <w:noWrap/>
            <w:vAlign w:val="bottom"/>
            <w:hideMark/>
          </w:tcPr>
          <w:p w:rsidR="00BC76F9" w:rsidRPr="00BC76F9" w:rsidRDefault="00BC76F9" w:rsidP="00BC76F9">
            <w:pPr>
              <w:jc w:val="right"/>
              <w:rPr>
                <w:rFonts w:cs="Arial"/>
                <w:color w:val="000000"/>
                <w:sz w:val="20"/>
                <w:szCs w:val="20"/>
                <w:lang w:eastAsia="en-GB"/>
              </w:rPr>
            </w:pPr>
            <w:r w:rsidRPr="00BC76F9">
              <w:rPr>
                <w:rFonts w:cs="Arial"/>
                <w:color w:val="000000"/>
                <w:sz w:val="20"/>
                <w:szCs w:val="20"/>
                <w:lang w:eastAsia="en-GB"/>
              </w:rPr>
              <w:t xml:space="preserve">12,113 </w:t>
            </w:r>
          </w:p>
        </w:tc>
      </w:tr>
      <w:tr w:rsidR="00BC76F9" w:rsidRPr="00BC76F9" w:rsidTr="00BC76F9">
        <w:trPr>
          <w:trHeight w:val="285"/>
        </w:trPr>
        <w:tc>
          <w:tcPr>
            <w:tcW w:w="4860" w:type="dxa"/>
            <w:tcBorders>
              <w:top w:val="nil"/>
              <w:left w:val="nil"/>
              <w:bottom w:val="nil"/>
              <w:right w:val="nil"/>
            </w:tcBorders>
            <w:shd w:val="clear" w:color="000000" w:fill="FFFFFF"/>
            <w:noWrap/>
            <w:vAlign w:val="bottom"/>
            <w:hideMark/>
          </w:tcPr>
          <w:p w:rsidR="00BC76F9" w:rsidRPr="00BC76F9" w:rsidRDefault="00BC76F9" w:rsidP="00BC76F9">
            <w:pPr>
              <w:rPr>
                <w:rFonts w:cs="Arial"/>
                <w:color w:val="000000"/>
                <w:sz w:val="20"/>
                <w:szCs w:val="20"/>
                <w:lang w:eastAsia="en-GB"/>
              </w:rPr>
            </w:pPr>
            <w:r w:rsidRPr="00BC76F9">
              <w:rPr>
                <w:rFonts w:cs="Arial"/>
                <w:color w:val="000000"/>
                <w:sz w:val="20"/>
                <w:szCs w:val="20"/>
                <w:lang w:eastAsia="en-GB"/>
              </w:rPr>
              <w:t>Money the Council Owes</w:t>
            </w:r>
          </w:p>
        </w:tc>
        <w:tc>
          <w:tcPr>
            <w:tcW w:w="1340" w:type="dxa"/>
            <w:tcBorders>
              <w:top w:val="nil"/>
              <w:left w:val="nil"/>
              <w:bottom w:val="nil"/>
              <w:right w:val="nil"/>
            </w:tcBorders>
            <w:shd w:val="clear" w:color="000000" w:fill="FFFF99"/>
            <w:noWrap/>
            <w:vAlign w:val="bottom"/>
            <w:hideMark/>
          </w:tcPr>
          <w:p w:rsidR="00BC76F9" w:rsidRPr="00BC76F9" w:rsidRDefault="00BC76F9" w:rsidP="00BC76F9">
            <w:pPr>
              <w:jc w:val="right"/>
              <w:rPr>
                <w:rFonts w:cs="Arial"/>
                <w:color w:val="000000"/>
                <w:sz w:val="20"/>
                <w:szCs w:val="20"/>
                <w:lang w:eastAsia="en-GB"/>
              </w:rPr>
            </w:pPr>
            <w:r w:rsidRPr="00BC76F9">
              <w:rPr>
                <w:rFonts w:cs="Arial"/>
                <w:color w:val="000000"/>
                <w:sz w:val="20"/>
                <w:szCs w:val="20"/>
                <w:lang w:eastAsia="en-GB"/>
              </w:rPr>
              <w:t>(471,873)</w:t>
            </w:r>
          </w:p>
        </w:tc>
        <w:tc>
          <w:tcPr>
            <w:tcW w:w="1340" w:type="dxa"/>
            <w:tcBorders>
              <w:top w:val="nil"/>
              <w:left w:val="nil"/>
              <w:bottom w:val="nil"/>
              <w:right w:val="nil"/>
            </w:tcBorders>
            <w:shd w:val="clear" w:color="000000" w:fill="BFBFBF"/>
            <w:noWrap/>
            <w:vAlign w:val="bottom"/>
            <w:hideMark/>
          </w:tcPr>
          <w:p w:rsidR="00BC76F9" w:rsidRPr="00BC76F9" w:rsidRDefault="00BC76F9" w:rsidP="00BC76F9">
            <w:pPr>
              <w:jc w:val="right"/>
              <w:rPr>
                <w:rFonts w:cs="Arial"/>
                <w:color w:val="000000"/>
                <w:sz w:val="20"/>
                <w:szCs w:val="20"/>
                <w:lang w:eastAsia="en-GB"/>
              </w:rPr>
            </w:pPr>
            <w:r w:rsidRPr="00BC76F9">
              <w:rPr>
                <w:rFonts w:cs="Arial"/>
                <w:color w:val="000000"/>
                <w:sz w:val="20"/>
                <w:szCs w:val="20"/>
                <w:lang w:eastAsia="en-GB"/>
              </w:rPr>
              <w:t>(411,303)</w:t>
            </w:r>
          </w:p>
        </w:tc>
        <w:tc>
          <w:tcPr>
            <w:tcW w:w="1340" w:type="dxa"/>
            <w:tcBorders>
              <w:top w:val="nil"/>
              <w:left w:val="nil"/>
              <w:bottom w:val="nil"/>
              <w:right w:val="nil"/>
            </w:tcBorders>
            <w:shd w:val="clear" w:color="000000" w:fill="FFFFFF"/>
            <w:noWrap/>
            <w:vAlign w:val="bottom"/>
            <w:hideMark/>
          </w:tcPr>
          <w:p w:rsidR="00BC76F9" w:rsidRPr="00BC76F9" w:rsidRDefault="00BC76F9" w:rsidP="00BC76F9">
            <w:pPr>
              <w:jc w:val="right"/>
              <w:rPr>
                <w:rFonts w:cs="Arial"/>
                <w:color w:val="000000"/>
                <w:sz w:val="20"/>
                <w:szCs w:val="20"/>
                <w:lang w:eastAsia="en-GB"/>
              </w:rPr>
            </w:pPr>
            <w:r w:rsidRPr="00BC76F9">
              <w:rPr>
                <w:rFonts w:cs="Arial"/>
                <w:color w:val="000000"/>
                <w:sz w:val="20"/>
                <w:szCs w:val="20"/>
                <w:lang w:eastAsia="en-GB"/>
              </w:rPr>
              <w:t>(60,570)</w:t>
            </w:r>
          </w:p>
        </w:tc>
      </w:tr>
      <w:tr w:rsidR="00BC76F9" w:rsidRPr="00BC76F9" w:rsidTr="00BC76F9">
        <w:trPr>
          <w:trHeight w:val="285"/>
        </w:trPr>
        <w:tc>
          <w:tcPr>
            <w:tcW w:w="4860" w:type="dxa"/>
            <w:tcBorders>
              <w:top w:val="nil"/>
              <w:left w:val="nil"/>
              <w:bottom w:val="nil"/>
              <w:right w:val="nil"/>
            </w:tcBorders>
            <w:shd w:val="clear" w:color="000000" w:fill="FFFFFF"/>
            <w:noWrap/>
            <w:vAlign w:val="bottom"/>
            <w:hideMark/>
          </w:tcPr>
          <w:p w:rsidR="00BC76F9" w:rsidRPr="00BC76F9" w:rsidRDefault="00BC76F9" w:rsidP="00BC76F9">
            <w:pPr>
              <w:rPr>
                <w:rFonts w:cs="Arial"/>
                <w:color w:val="000000"/>
                <w:sz w:val="20"/>
                <w:szCs w:val="20"/>
                <w:lang w:eastAsia="en-GB"/>
              </w:rPr>
            </w:pPr>
            <w:r w:rsidRPr="00BC76F9">
              <w:rPr>
                <w:rFonts w:cs="Arial"/>
                <w:color w:val="000000"/>
                <w:sz w:val="20"/>
                <w:szCs w:val="20"/>
                <w:lang w:eastAsia="en-GB"/>
              </w:rPr>
              <w:t>Money the Council is Owed</w:t>
            </w:r>
          </w:p>
        </w:tc>
        <w:tc>
          <w:tcPr>
            <w:tcW w:w="1340" w:type="dxa"/>
            <w:tcBorders>
              <w:top w:val="nil"/>
              <w:left w:val="nil"/>
              <w:bottom w:val="nil"/>
              <w:right w:val="nil"/>
            </w:tcBorders>
            <w:shd w:val="clear" w:color="000000" w:fill="FFFF99"/>
            <w:noWrap/>
            <w:vAlign w:val="bottom"/>
            <w:hideMark/>
          </w:tcPr>
          <w:p w:rsidR="00BC76F9" w:rsidRPr="00BC76F9" w:rsidRDefault="00BC76F9" w:rsidP="00BC76F9">
            <w:pPr>
              <w:jc w:val="right"/>
              <w:rPr>
                <w:rFonts w:cs="Arial"/>
                <w:color w:val="000000"/>
                <w:sz w:val="20"/>
                <w:szCs w:val="20"/>
                <w:lang w:eastAsia="en-GB"/>
              </w:rPr>
            </w:pPr>
            <w:r w:rsidRPr="00BC76F9">
              <w:rPr>
                <w:rFonts w:cs="Arial"/>
                <w:color w:val="000000"/>
                <w:sz w:val="20"/>
                <w:szCs w:val="20"/>
                <w:lang w:eastAsia="en-GB"/>
              </w:rPr>
              <w:t xml:space="preserve">129,319 </w:t>
            </w:r>
          </w:p>
        </w:tc>
        <w:tc>
          <w:tcPr>
            <w:tcW w:w="1340" w:type="dxa"/>
            <w:tcBorders>
              <w:top w:val="nil"/>
              <w:left w:val="nil"/>
              <w:bottom w:val="nil"/>
              <w:right w:val="nil"/>
            </w:tcBorders>
            <w:shd w:val="clear" w:color="000000" w:fill="BFBFBF"/>
            <w:noWrap/>
            <w:vAlign w:val="bottom"/>
            <w:hideMark/>
          </w:tcPr>
          <w:p w:rsidR="00BC76F9" w:rsidRPr="00BC76F9" w:rsidRDefault="00BC76F9" w:rsidP="00BC76F9">
            <w:pPr>
              <w:jc w:val="right"/>
              <w:rPr>
                <w:rFonts w:cs="Arial"/>
                <w:color w:val="000000"/>
                <w:sz w:val="20"/>
                <w:szCs w:val="20"/>
                <w:lang w:eastAsia="en-GB"/>
              </w:rPr>
            </w:pPr>
            <w:r w:rsidRPr="00BC76F9">
              <w:rPr>
                <w:rFonts w:cs="Arial"/>
                <w:color w:val="000000"/>
                <w:sz w:val="20"/>
                <w:szCs w:val="20"/>
                <w:lang w:eastAsia="en-GB"/>
              </w:rPr>
              <w:t xml:space="preserve">103,642 </w:t>
            </w:r>
          </w:p>
        </w:tc>
        <w:tc>
          <w:tcPr>
            <w:tcW w:w="1340" w:type="dxa"/>
            <w:tcBorders>
              <w:top w:val="nil"/>
              <w:left w:val="nil"/>
              <w:bottom w:val="nil"/>
              <w:right w:val="nil"/>
            </w:tcBorders>
            <w:shd w:val="clear" w:color="000000" w:fill="FFFFFF"/>
            <w:noWrap/>
            <w:vAlign w:val="bottom"/>
            <w:hideMark/>
          </w:tcPr>
          <w:p w:rsidR="00BC76F9" w:rsidRPr="00BC76F9" w:rsidRDefault="00BC76F9" w:rsidP="00BC76F9">
            <w:pPr>
              <w:jc w:val="right"/>
              <w:rPr>
                <w:rFonts w:cs="Arial"/>
                <w:color w:val="000000"/>
                <w:sz w:val="20"/>
                <w:szCs w:val="20"/>
                <w:lang w:eastAsia="en-GB"/>
              </w:rPr>
            </w:pPr>
            <w:r w:rsidRPr="00BC76F9">
              <w:rPr>
                <w:rFonts w:cs="Arial"/>
                <w:color w:val="000000"/>
                <w:sz w:val="20"/>
                <w:szCs w:val="20"/>
                <w:lang w:eastAsia="en-GB"/>
              </w:rPr>
              <w:t xml:space="preserve">25,677 </w:t>
            </w:r>
          </w:p>
        </w:tc>
      </w:tr>
      <w:tr w:rsidR="00BC76F9" w:rsidRPr="00BC76F9" w:rsidTr="00BC76F9">
        <w:trPr>
          <w:trHeight w:val="90"/>
        </w:trPr>
        <w:tc>
          <w:tcPr>
            <w:tcW w:w="4860" w:type="dxa"/>
            <w:tcBorders>
              <w:top w:val="nil"/>
              <w:left w:val="nil"/>
              <w:bottom w:val="nil"/>
              <w:right w:val="nil"/>
            </w:tcBorders>
            <w:shd w:val="clear" w:color="000000" w:fill="FFFFFF"/>
            <w:noWrap/>
            <w:vAlign w:val="bottom"/>
            <w:hideMark/>
          </w:tcPr>
          <w:p w:rsidR="00BC76F9" w:rsidRPr="00BC76F9" w:rsidRDefault="00BC76F9" w:rsidP="00BC76F9">
            <w:pPr>
              <w:rPr>
                <w:rFonts w:cs="Arial"/>
                <w:color w:val="000000"/>
                <w:sz w:val="20"/>
                <w:szCs w:val="20"/>
                <w:lang w:eastAsia="en-GB"/>
              </w:rPr>
            </w:pPr>
            <w:r w:rsidRPr="00BC76F9">
              <w:rPr>
                <w:rFonts w:cs="Arial"/>
                <w:color w:val="000000"/>
                <w:sz w:val="20"/>
                <w:szCs w:val="20"/>
                <w:lang w:eastAsia="en-GB"/>
              </w:rPr>
              <w:t> </w:t>
            </w:r>
          </w:p>
        </w:tc>
        <w:tc>
          <w:tcPr>
            <w:tcW w:w="1340" w:type="dxa"/>
            <w:tcBorders>
              <w:top w:val="nil"/>
              <w:left w:val="nil"/>
              <w:bottom w:val="nil"/>
              <w:right w:val="nil"/>
            </w:tcBorders>
            <w:shd w:val="clear" w:color="000000" w:fill="FFFF99"/>
            <w:noWrap/>
            <w:vAlign w:val="bottom"/>
            <w:hideMark/>
          </w:tcPr>
          <w:p w:rsidR="00BC76F9" w:rsidRPr="00BC76F9" w:rsidRDefault="00BC76F9" w:rsidP="00BC76F9">
            <w:pPr>
              <w:rPr>
                <w:rFonts w:cs="Arial"/>
                <w:color w:val="000000"/>
                <w:sz w:val="20"/>
                <w:szCs w:val="20"/>
                <w:lang w:eastAsia="en-GB"/>
              </w:rPr>
            </w:pPr>
            <w:r w:rsidRPr="00BC76F9">
              <w:rPr>
                <w:rFonts w:cs="Arial"/>
                <w:color w:val="000000"/>
                <w:sz w:val="20"/>
                <w:szCs w:val="20"/>
                <w:lang w:eastAsia="en-GB"/>
              </w:rPr>
              <w:t> </w:t>
            </w:r>
          </w:p>
        </w:tc>
        <w:tc>
          <w:tcPr>
            <w:tcW w:w="1340" w:type="dxa"/>
            <w:tcBorders>
              <w:top w:val="nil"/>
              <w:left w:val="nil"/>
              <w:bottom w:val="nil"/>
              <w:right w:val="nil"/>
            </w:tcBorders>
            <w:shd w:val="clear" w:color="000000" w:fill="BFBFBF"/>
            <w:noWrap/>
            <w:vAlign w:val="bottom"/>
            <w:hideMark/>
          </w:tcPr>
          <w:p w:rsidR="00BC76F9" w:rsidRPr="00BC76F9" w:rsidRDefault="00BC76F9" w:rsidP="00BC76F9">
            <w:pPr>
              <w:rPr>
                <w:rFonts w:cs="Arial"/>
                <w:color w:val="000000"/>
                <w:sz w:val="20"/>
                <w:szCs w:val="20"/>
                <w:lang w:eastAsia="en-GB"/>
              </w:rPr>
            </w:pPr>
            <w:r w:rsidRPr="00BC76F9">
              <w:rPr>
                <w:rFonts w:cs="Arial"/>
                <w:color w:val="000000"/>
                <w:sz w:val="20"/>
                <w:szCs w:val="20"/>
                <w:lang w:eastAsia="en-GB"/>
              </w:rPr>
              <w:t> </w:t>
            </w:r>
          </w:p>
        </w:tc>
        <w:tc>
          <w:tcPr>
            <w:tcW w:w="1340" w:type="dxa"/>
            <w:tcBorders>
              <w:top w:val="nil"/>
              <w:left w:val="nil"/>
              <w:bottom w:val="nil"/>
              <w:right w:val="nil"/>
            </w:tcBorders>
            <w:shd w:val="clear" w:color="000000" w:fill="FFFFFF"/>
            <w:noWrap/>
            <w:vAlign w:val="bottom"/>
            <w:hideMark/>
          </w:tcPr>
          <w:p w:rsidR="00BC76F9" w:rsidRPr="00BC76F9" w:rsidRDefault="00BC76F9" w:rsidP="00BC76F9">
            <w:pPr>
              <w:rPr>
                <w:rFonts w:cs="Arial"/>
                <w:color w:val="000000"/>
                <w:sz w:val="20"/>
                <w:szCs w:val="20"/>
                <w:lang w:eastAsia="en-GB"/>
              </w:rPr>
            </w:pPr>
            <w:r w:rsidRPr="00BC76F9">
              <w:rPr>
                <w:rFonts w:cs="Arial"/>
                <w:color w:val="000000"/>
                <w:sz w:val="20"/>
                <w:szCs w:val="20"/>
                <w:lang w:eastAsia="en-GB"/>
              </w:rPr>
              <w:t> </w:t>
            </w:r>
          </w:p>
        </w:tc>
      </w:tr>
      <w:tr w:rsidR="00BC76F9" w:rsidRPr="00BC76F9" w:rsidTr="00BC76F9">
        <w:trPr>
          <w:trHeight w:val="300"/>
        </w:trPr>
        <w:tc>
          <w:tcPr>
            <w:tcW w:w="4860" w:type="dxa"/>
            <w:tcBorders>
              <w:top w:val="nil"/>
              <w:left w:val="nil"/>
              <w:bottom w:val="nil"/>
              <w:right w:val="nil"/>
            </w:tcBorders>
            <w:shd w:val="clear" w:color="000000" w:fill="FFFFFF"/>
            <w:noWrap/>
            <w:vAlign w:val="bottom"/>
            <w:hideMark/>
          </w:tcPr>
          <w:p w:rsidR="00BC76F9" w:rsidRPr="00BC76F9" w:rsidRDefault="00BC76F9" w:rsidP="00BC76F9">
            <w:pPr>
              <w:rPr>
                <w:rFonts w:cs="Arial"/>
                <w:b/>
                <w:bCs/>
                <w:color w:val="000000"/>
                <w:sz w:val="20"/>
                <w:szCs w:val="20"/>
                <w:lang w:eastAsia="en-GB"/>
              </w:rPr>
            </w:pPr>
            <w:r w:rsidRPr="00BC76F9">
              <w:rPr>
                <w:rFonts w:cs="Arial"/>
                <w:b/>
                <w:bCs/>
                <w:color w:val="000000"/>
                <w:sz w:val="20"/>
                <w:szCs w:val="20"/>
                <w:lang w:eastAsia="en-GB"/>
              </w:rPr>
              <w:t>Net Worth of Council at 31st March</w:t>
            </w:r>
          </w:p>
        </w:tc>
        <w:tc>
          <w:tcPr>
            <w:tcW w:w="1340" w:type="dxa"/>
            <w:tcBorders>
              <w:top w:val="single" w:sz="4" w:space="0" w:color="auto"/>
              <w:left w:val="nil"/>
              <w:bottom w:val="single" w:sz="4" w:space="0" w:color="auto"/>
              <w:right w:val="nil"/>
            </w:tcBorders>
            <w:shd w:val="clear" w:color="000000" w:fill="FFFF99"/>
            <w:noWrap/>
            <w:vAlign w:val="bottom"/>
            <w:hideMark/>
          </w:tcPr>
          <w:p w:rsidR="00BC76F9" w:rsidRPr="00BC76F9" w:rsidRDefault="00BC76F9" w:rsidP="00BC76F9">
            <w:pPr>
              <w:jc w:val="right"/>
              <w:rPr>
                <w:rFonts w:cs="Arial"/>
                <w:b/>
                <w:bCs/>
                <w:color w:val="000000"/>
                <w:sz w:val="20"/>
                <w:szCs w:val="20"/>
                <w:lang w:eastAsia="en-GB"/>
              </w:rPr>
            </w:pPr>
            <w:r w:rsidRPr="00BC76F9">
              <w:rPr>
                <w:rFonts w:cs="Arial"/>
                <w:b/>
                <w:bCs/>
                <w:color w:val="000000"/>
                <w:sz w:val="20"/>
                <w:szCs w:val="20"/>
                <w:lang w:eastAsia="en-GB"/>
              </w:rPr>
              <w:t xml:space="preserve">756,956 </w:t>
            </w:r>
          </w:p>
        </w:tc>
        <w:tc>
          <w:tcPr>
            <w:tcW w:w="1340" w:type="dxa"/>
            <w:tcBorders>
              <w:top w:val="single" w:sz="4" w:space="0" w:color="auto"/>
              <w:left w:val="nil"/>
              <w:bottom w:val="single" w:sz="4" w:space="0" w:color="auto"/>
              <w:right w:val="nil"/>
            </w:tcBorders>
            <w:shd w:val="clear" w:color="000000" w:fill="BFBFBF"/>
            <w:noWrap/>
            <w:vAlign w:val="bottom"/>
            <w:hideMark/>
          </w:tcPr>
          <w:p w:rsidR="00BC76F9" w:rsidRPr="00BC76F9" w:rsidRDefault="00BC76F9" w:rsidP="00BC76F9">
            <w:pPr>
              <w:jc w:val="right"/>
              <w:rPr>
                <w:rFonts w:cs="Arial"/>
                <w:b/>
                <w:bCs/>
                <w:color w:val="000000"/>
                <w:sz w:val="20"/>
                <w:szCs w:val="20"/>
                <w:lang w:eastAsia="en-GB"/>
              </w:rPr>
            </w:pPr>
            <w:r w:rsidRPr="00BC76F9">
              <w:rPr>
                <w:rFonts w:cs="Arial"/>
                <w:b/>
                <w:bCs/>
                <w:color w:val="000000"/>
                <w:sz w:val="20"/>
                <w:szCs w:val="20"/>
                <w:lang w:eastAsia="en-GB"/>
              </w:rPr>
              <w:t xml:space="preserve">815,636 </w:t>
            </w:r>
          </w:p>
        </w:tc>
        <w:tc>
          <w:tcPr>
            <w:tcW w:w="1340" w:type="dxa"/>
            <w:tcBorders>
              <w:top w:val="single" w:sz="4" w:space="0" w:color="auto"/>
              <w:left w:val="nil"/>
              <w:bottom w:val="single" w:sz="4" w:space="0" w:color="auto"/>
              <w:right w:val="nil"/>
            </w:tcBorders>
            <w:shd w:val="clear" w:color="000000" w:fill="FFFFFF"/>
            <w:noWrap/>
            <w:vAlign w:val="bottom"/>
            <w:hideMark/>
          </w:tcPr>
          <w:p w:rsidR="00BC76F9" w:rsidRPr="00BC76F9" w:rsidRDefault="00BC76F9" w:rsidP="00BC76F9">
            <w:pPr>
              <w:jc w:val="right"/>
              <w:rPr>
                <w:rFonts w:cs="Arial"/>
                <w:b/>
                <w:bCs/>
                <w:color w:val="000000"/>
                <w:sz w:val="20"/>
                <w:szCs w:val="20"/>
                <w:lang w:eastAsia="en-GB"/>
              </w:rPr>
            </w:pPr>
            <w:r w:rsidRPr="00BC76F9">
              <w:rPr>
                <w:rFonts w:cs="Arial"/>
                <w:b/>
                <w:bCs/>
                <w:color w:val="000000"/>
                <w:sz w:val="20"/>
                <w:szCs w:val="20"/>
                <w:lang w:eastAsia="en-GB"/>
              </w:rPr>
              <w:t>(58,680)</w:t>
            </w:r>
          </w:p>
        </w:tc>
      </w:tr>
    </w:tbl>
    <w:p w:rsidR="00B66B8B" w:rsidRDefault="00B66B8B" w:rsidP="00B73B72">
      <w:pPr>
        <w:ind w:left="426" w:right="43"/>
      </w:pPr>
    </w:p>
    <w:p w:rsidR="00CE2DAC" w:rsidRDefault="00CE2DAC" w:rsidP="00B73B72">
      <w:pPr>
        <w:ind w:left="426" w:right="43"/>
      </w:pPr>
    </w:p>
    <w:p w:rsidR="002D6242" w:rsidRPr="00CE2DAC" w:rsidRDefault="002D6242" w:rsidP="00B73B72">
      <w:pPr>
        <w:numPr>
          <w:ilvl w:val="0"/>
          <w:numId w:val="22"/>
        </w:numPr>
        <w:ind w:left="426" w:right="43"/>
      </w:pPr>
      <w:r>
        <w:t>The main increase is relating to the value of non-current assets that the Council owns, predominantly land and buildings.  This increase is an unrealised gain and will only become available to the Council if and when properties are sold.</w:t>
      </w:r>
      <w:r w:rsidR="00AF5EEC">
        <w:t xml:space="preserve">  Further details of the non-current assets held can be </w:t>
      </w:r>
      <w:r w:rsidR="00AF5EEC" w:rsidRPr="00CE2DAC">
        <w:t>found in notes 13 to 16 on pages 4</w:t>
      </w:r>
      <w:r w:rsidR="00CE2DAC" w:rsidRPr="00CE2DAC">
        <w:t>9 to 54</w:t>
      </w:r>
      <w:r w:rsidR="00AF5EEC" w:rsidRPr="00CE2DAC">
        <w:t>.</w:t>
      </w:r>
    </w:p>
    <w:p w:rsidR="0058051A" w:rsidRDefault="0058051A" w:rsidP="0058051A">
      <w:pPr>
        <w:ind w:left="426" w:right="43"/>
      </w:pPr>
    </w:p>
    <w:p w:rsidR="002D6242" w:rsidRDefault="002D6242" w:rsidP="00B73B72">
      <w:pPr>
        <w:numPr>
          <w:ilvl w:val="0"/>
          <w:numId w:val="22"/>
        </w:numPr>
        <w:ind w:left="426" w:right="43"/>
      </w:pPr>
      <w:r>
        <w:t xml:space="preserve">The net worth is </w:t>
      </w:r>
      <w:r w:rsidR="001E5126">
        <w:t>held in usable and unusable reserves:</w:t>
      </w:r>
    </w:p>
    <w:tbl>
      <w:tblPr>
        <w:tblW w:w="8880" w:type="dxa"/>
        <w:tblInd w:w="93" w:type="dxa"/>
        <w:tblLook w:val="04A0" w:firstRow="1" w:lastRow="0" w:firstColumn="1" w:lastColumn="0" w:noHBand="0" w:noVBand="1"/>
      </w:tblPr>
      <w:tblGrid>
        <w:gridCol w:w="4860"/>
        <w:gridCol w:w="1340"/>
        <w:gridCol w:w="1340"/>
        <w:gridCol w:w="1340"/>
      </w:tblGrid>
      <w:tr w:rsidR="00BC76F9" w:rsidRPr="00BC76F9" w:rsidTr="00BC76F9">
        <w:trPr>
          <w:trHeight w:val="285"/>
        </w:trPr>
        <w:tc>
          <w:tcPr>
            <w:tcW w:w="4860" w:type="dxa"/>
            <w:tcBorders>
              <w:top w:val="nil"/>
              <w:left w:val="nil"/>
              <w:bottom w:val="nil"/>
              <w:right w:val="nil"/>
            </w:tcBorders>
            <w:shd w:val="clear" w:color="000000" w:fill="FFFFFF"/>
            <w:noWrap/>
            <w:vAlign w:val="bottom"/>
            <w:hideMark/>
          </w:tcPr>
          <w:p w:rsidR="00BC76F9" w:rsidRPr="00BC76F9" w:rsidRDefault="00BC76F9" w:rsidP="00BC76F9">
            <w:pPr>
              <w:rPr>
                <w:rFonts w:cs="Arial"/>
                <w:color w:val="000000"/>
                <w:sz w:val="20"/>
                <w:szCs w:val="20"/>
                <w:lang w:eastAsia="en-GB"/>
              </w:rPr>
            </w:pPr>
            <w:r w:rsidRPr="00BC76F9">
              <w:rPr>
                <w:rFonts w:cs="Arial"/>
                <w:color w:val="000000"/>
                <w:sz w:val="20"/>
                <w:szCs w:val="20"/>
                <w:lang w:eastAsia="en-GB"/>
              </w:rPr>
              <w:t> </w:t>
            </w:r>
          </w:p>
        </w:tc>
        <w:tc>
          <w:tcPr>
            <w:tcW w:w="1340" w:type="dxa"/>
            <w:tcBorders>
              <w:top w:val="nil"/>
              <w:left w:val="nil"/>
              <w:bottom w:val="nil"/>
              <w:right w:val="nil"/>
            </w:tcBorders>
            <w:shd w:val="clear" w:color="000000" w:fill="FFFF99"/>
            <w:noWrap/>
            <w:vAlign w:val="bottom"/>
            <w:hideMark/>
          </w:tcPr>
          <w:p w:rsidR="00BC76F9" w:rsidRPr="00BC76F9" w:rsidRDefault="00BC76F9" w:rsidP="00BC76F9">
            <w:pPr>
              <w:jc w:val="center"/>
              <w:rPr>
                <w:rFonts w:cs="Arial"/>
                <w:b/>
                <w:bCs/>
                <w:color w:val="000000"/>
                <w:sz w:val="20"/>
                <w:szCs w:val="20"/>
                <w:lang w:eastAsia="en-GB"/>
              </w:rPr>
            </w:pPr>
            <w:r w:rsidRPr="00BC76F9">
              <w:rPr>
                <w:rFonts w:cs="Arial"/>
                <w:b/>
                <w:bCs/>
                <w:color w:val="000000"/>
                <w:sz w:val="20"/>
                <w:szCs w:val="20"/>
                <w:lang w:eastAsia="en-GB"/>
              </w:rPr>
              <w:t>2018/19</w:t>
            </w:r>
          </w:p>
        </w:tc>
        <w:tc>
          <w:tcPr>
            <w:tcW w:w="1340" w:type="dxa"/>
            <w:tcBorders>
              <w:top w:val="nil"/>
              <w:left w:val="nil"/>
              <w:bottom w:val="nil"/>
              <w:right w:val="nil"/>
            </w:tcBorders>
            <w:shd w:val="clear" w:color="000000" w:fill="BFBFBF"/>
            <w:noWrap/>
            <w:vAlign w:val="bottom"/>
            <w:hideMark/>
          </w:tcPr>
          <w:p w:rsidR="00BC76F9" w:rsidRPr="00BC76F9" w:rsidRDefault="00BC76F9" w:rsidP="00BC76F9">
            <w:pPr>
              <w:jc w:val="center"/>
              <w:rPr>
                <w:rFonts w:cs="Arial"/>
                <w:b/>
                <w:bCs/>
                <w:color w:val="000000"/>
                <w:sz w:val="20"/>
                <w:szCs w:val="20"/>
                <w:lang w:eastAsia="en-GB"/>
              </w:rPr>
            </w:pPr>
            <w:r w:rsidRPr="00BC76F9">
              <w:rPr>
                <w:rFonts w:cs="Arial"/>
                <w:b/>
                <w:bCs/>
                <w:color w:val="000000"/>
                <w:sz w:val="20"/>
                <w:szCs w:val="20"/>
                <w:lang w:eastAsia="en-GB"/>
              </w:rPr>
              <w:t>2017/18</w:t>
            </w:r>
          </w:p>
        </w:tc>
        <w:tc>
          <w:tcPr>
            <w:tcW w:w="1340" w:type="dxa"/>
            <w:tcBorders>
              <w:top w:val="nil"/>
              <w:left w:val="nil"/>
              <w:bottom w:val="nil"/>
              <w:right w:val="nil"/>
            </w:tcBorders>
            <w:shd w:val="clear" w:color="000000" w:fill="FFFFFF"/>
            <w:noWrap/>
            <w:vAlign w:val="bottom"/>
            <w:hideMark/>
          </w:tcPr>
          <w:p w:rsidR="00BC76F9" w:rsidRPr="00BC76F9" w:rsidRDefault="00BC76F9" w:rsidP="00BC76F9">
            <w:pPr>
              <w:jc w:val="center"/>
              <w:rPr>
                <w:rFonts w:cs="Arial"/>
                <w:b/>
                <w:bCs/>
                <w:color w:val="000000"/>
                <w:sz w:val="20"/>
                <w:szCs w:val="20"/>
                <w:lang w:eastAsia="en-GB"/>
              </w:rPr>
            </w:pPr>
            <w:r w:rsidRPr="00BC76F9">
              <w:rPr>
                <w:rFonts w:cs="Arial"/>
                <w:b/>
                <w:bCs/>
                <w:color w:val="000000"/>
                <w:sz w:val="20"/>
                <w:szCs w:val="20"/>
                <w:lang w:eastAsia="en-GB"/>
              </w:rPr>
              <w:t>Variation</w:t>
            </w:r>
          </w:p>
        </w:tc>
      </w:tr>
      <w:tr w:rsidR="00BC76F9" w:rsidRPr="00BC76F9" w:rsidTr="00BC76F9">
        <w:trPr>
          <w:trHeight w:val="285"/>
        </w:trPr>
        <w:tc>
          <w:tcPr>
            <w:tcW w:w="4860" w:type="dxa"/>
            <w:tcBorders>
              <w:top w:val="nil"/>
              <w:left w:val="nil"/>
              <w:bottom w:val="nil"/>
              <w:right w:val="nil"/>
            </w:tcBorders>
            <w:shd w:val="clear" w:color="000000" w:fill="FFFFFF"/>
            <w:noWrap/>
            <w:vAlign w:val="bottom"/>
            <w:hideMark/>
          </w:tcPr>
          <w:p w:rsidR="00BC76F9" w:rsidRPr="00BC76F9" w:rsidRDefault="00BC76F9" w:rsidP="00BC76F9">
            <w:pPr>
              <w:rPr>
                <w:rFonts w:cs="Arial"/>
                <w:color w:val="000000"/>
                <w:sz w:val="20"/>
                <w:szCs w:val="20"/>
                <w:lang w:eastAsia="en-GB"/>
              </w:rPr>
            </w:pPr>
            <w:r w:rsidRPr="00BC76F9">
              <w:rPr>
                <w:rFonts w:cs="Arial"/>
                <w:color w:val="000000"/>
                <w:sz w:val="20"/>
                <w:szCs w:val="20"/>
                <w:lang w:eastAsia="en-GB"/>
              </w:rPr>
              <w:t> </w:t>
            </w:r>
          </w:p>
        </w:tc>
        <w:tc>
          <w:tcPr>
            <w:tcW w:w="1340" w:type="dxa"/>
            <w:tcBorders>
              <w:top w:val="nil"/>
              <w:left w:val="nil"/>
              <w:bottom w:val="single" w:sz="4" w:space="0" w:color="auto"/>
              <w:right w:val="nil"/>
            </w:tcBorders>
            <w:shd w:val="clear" w:color="000000" w:fill="FFFF99"/>
            <w:noWrap/>
            <w:vAlign w:val="bottom"/>
            <w:hideMark/>
          </w:tcPr>
          <w:p w:rsidR="00BC76F9" w:rsidRPr="00BC76F9" w:rsidRDefault="00BC76F9" w:rsidP="00BC76F9">
            <w:pPr>
              <w:jc w:val="center"/>
              <w:rPr>
                <w:rFonts w:cs="Arial"/>
                <w:b/>
                <w:bCs/>
                <w:color w:val="000000"/>
                <w:sz w:val="20"/>
                <w:szCs w:val="20"/>
                <w:lang w:eastAsia="en-GB"/>
              </w:rPr>
            </w:pPr>
            <w:r w:rsidRPr="00BC76F9">
              <w:rPr>
                <w:rFonts w:cs="Arial"/>
                <w:b/>
                <w:bCs/>
                <w:color w:val="000000"/>
                <w:sz w:val="20"/>
                <w:szCs w:val="20"/>
                <w:lang w:eastAsia="en-GB"/>
              </w:rPr>
              <w:t>£'000</w:t>
            </w:r>
          </w:p>
        </w:tc>
        <w:tc>
          <w:tcPr>
            <w:tcW w:w="1340" w:type="dxa"/>
            <w:tcBorders>
              <w:top w:val="nil"/>
              <w:left w:val="nil"/>
              <w:bottom w:val="single" w:sz="4" w:space="0" w:color="auto"/>
              <w:right w:val="nil"/>
            </w:tcBorders>
            <w:shd w:val="clear" w:color="000000" w:fill="BFBFBF"/>
            <w:noWrap/>
            <w:vAlign w:val="bottom"/>
            <w:hideMark/>
          </w:tcPr>
          <w:p w:rsidR="00BC76F9" w:rsidRPr="00BC76F9" w:rsidRDefault="00BC76F9" w:rsidP="00BC76F9">
            <w:pPr>
              <w:jc w:val="center"/>
              <w:rPr>
                <w:rFonts w:cs="Arial"/>
                <w:b/>
                <w:bCs/>
                <w:color w:val="000000"/>
                <w:sz w:val="20"/>
                <w:szCs w:val="20"/>
                <w:lang w:eastAsia="en-GB"/>
              </w:rPr>
            </w:pPr>
            <w:r w:rsidRPr="00BC76F9">
              <w:rPr>
                <w:rFonts w:cs="Arial"/>
                <w:b/>
                <w:bCs/>
                <w:color w:val="000000"/>
                <w:sz w:val="20"/>
                <w:szCs w:val="20"/>
                <w:lang w:eastAsia="en-GB"/>
              </w:rPr>
              <w:t>£'000</w:t>
            </w:r>
          </w:p>
        </w:tc>
        <w:tc>
          <w:tcPr>
            <w:tcW w:w="1340" w:type="dxa"/>
            <w:tcBorders>
              <w:top w:val="nil"/>
              <w:left w:val="nil"/>
              <w:bottom w:val="single" w:sz="4" w:space="0" w:color="auto"/>
              <w:right w:val="nil"/>
            </w:tcBorders>
            <w:shd w:val="clear" w:color="000000" w:fill="FFFFFF"/>
            <w:noWrap/>
            <w:vAlign w:val="bottom"/>
            <w:hideMark/>
          </w:tcPr>
          <w:p w:rsidR="00BC76F9" w:rsidRPr="00BC76F9" w:rsidRDefault="00BC76F9" w:rsidP="00BC76F9">
            <w:pPr>
              <w:jc w:val="center"/>
              <w:rPr>
                <w:rFonts w:cs="Arial"/>
                <w:b/>
                <w:bCs/>
                <w:color w:val="000000"/>
                <w:sz w:val="20"/>
                <w:szCs w:val="20"/>
                <w:lang w:eastAsia="en-GB"/>
              </w:rPr>
            </w:pPr>
            <w:r w:rsidRPr="00BC76F9">
              <w:rPr>
                <w:rFonts w:cs="Arial"/>
                <w:b/>
                <w:bCs/>
                <w:color w:val="000000"/>
                <w:sz w:val="20"/>
                <w:szCs w:val="20"/>
                <w:lang w:eastAsia="en-GB"/>
              </w:rPr>
              <w:t>£'000</w:t>
            </w:r>
          </w:p>
        </w:tc>
      </w:tr>
      <w:tr w:rsidR="00BC76F9" w:rsidRPr="00BC76F9" w:rsidTr="00BC76F9">
        <w:trPr>
          <w:trHeight w:val="285"/>
        </w:trPr>
        <w:tc>
          <w:tcPr>
            <w:tcW w:w="4860" w:type="dxa"/>
            <w:tcBorders>
              <w:top w:val="nil"/>
              <w:left w:val="nil"/>
              <w:bottom w:val="nil"/>
              <w:right w:val="nil"/>
            </w:tcBorders>
            <w:shd w:val="clear" w:color="000000" w:fill="FFFFFF"/>
            <w:noWrap/>
            <w:vAlign w:val="bottom"/>
            <w:hideMark/>
          </w:tcPr>
          <w:p w:rsidR="00BC76F9" w:rsidRPr="00BC76F9" w:rsidRDefault="00BC76F9" w:rsidP="00BC76F9">
            <w:pPr>
              <w:rPr>
                <w:rFonts w:cs="Arial"/>
                <w:sz w:val="20"/>
                <w:szCs w:val="20"/>
                <w:lang w:eastAsia="en-GB"/>
              </w:rPr>
            </w:pPr>
            <w:r w:rsidRPr="00BC76F9">
              <w:rPr>
                <w:rFonts w:cs="Arial"/>
                <w:sz w:val="20"/>
                <w:szCs w:val="20"/>
                <w:lang w:eastAsia="en-GB"/>
              </w:rPr>
              <w:t>Usable Reserves</w:t>
            </w:r>
          </w:p>
        </w:tc>
        <w:tc>
          <w:tcPr>
            <w:tcW w:w="1340" w:type="dxa"/>
            <w:tcBorders>
              <w:top w:val="nil"/>
              <w:left w:val="nil"/>
              <w:bottom w:val="nil"/>
              <w:right w:val="nil"/>
            </w:tcBorders>
            <w:shd w:val="clear" w:color="000000" w:fill="FFFF99"/>
            <w:noWrap/>
            <w:vAlign w:val="bottom"/>
            <w:hideMark/>
          </w:tcPr>
          <w:p w:rsidR="00BC76F9" w:rsidRPr="00BC76F9" w:rsidRDefault="00BC76F9" w:rsidP="00BC76F9">
            <w:pPr>
              <w:jc w:val="right"/>
              <w:rPr>
                <w:rFonts w:cs="Arial"/>
                <w:sz w:val="20"/>
                <w:szCs w:val="20"/>
                <w:lang w:eastAsia="en-GB"/>
              </w:rPr>
            </w:pPr>
            <w:r w:rsidRPr="00BC76F9">
              <w:rPr>
                <w:rFonts w:cs="Arial"/>
                <w:sz w:val="20"/>
                <w:szCs w:val="20"/>
                <w:lang w:eastAsia="en-GB"/>
              </w:rPr>
              <w:t>(90,721)</w:t>
            </w:r>
          </w:p>
        </w:tc>
        <w:tc>
          <w:tcPr>
            <w:tcW w:w="1340" w:type="dxa"/>
            <w:tcBorders>
              <w:top w:val="nil"/>
              <w:left w:val="nil"/>
              <w:bottom w:val="nil"/>
              <w:right w:val="nil"/>
            </w:tcBorders>
            <w:shd w:val="clear" w:color="000000" w:fill="BFBFBF"/>
            <w:noWrap/>
            <w:vAlign w:val="bottom"/>
            <w:hideMark/>
          </w:tcPr>
          <w:p w:rsidR="00BC76F9" w:rsidRPr="00BC76F9" w:rsidRDefault="00BC76F9" w:rsidP="00BC76F9">
            <w:pPr>
              <w:jc w:val="right"/>
              <w:rPr>
                <w:rFonts w:cs="Arial"/>
                <w:sz w:val="20"/>
                <w:szCs w:val="20"/>
                <w:lang w:eastAsia="en-GB"/>
              </w:rPr>
            </w:pPr>
            <w:r w:rsidRPr="00BC76F9">
              <w:rPr>
                <w:rFonts w:cs="Arial"/>
                <w:sz w:val="20"/>
                <w:szCs w:val="20"/>
                <w:lang w:eastAsia="en-GB"/>
              </w:rPr>
              <w:t>(84,680)</w:t>
            </w:r>
          </w:p>
        </w:tc>
        <w:tc>
          <w:tcPr>
            <w:tcW w:w="1340" w:type="dxa"/>
            <w:tcBorders>
              <w:top w:val="nil"/>
              <w:left w:val="nil"/>
              <w:bottom w:val="nil"/>
              <w:right w:val="nil"/>
            </w:tcBorders>
            <w:shd w:val="clear" w:color="000000" w:fill="FFFFFF"/>
            <w:noWrap/>
            <w:vAlign w:val="bottom"/>
            <w:hideMark/>
          </w:tcPr>
          <w:p w:rsidR="00BC76F9" w:rsidRPr="00BC76F9" w:rsidRDefault="00BC76F9" w:rsidP="00BC76F9">
            <w:pPr>
              <w:jc w:val="right"/>
              <w:rPr>
                <w:rFonts w:cs="Arial"/>
                <w:color w:val="000000"/>
                <w:sz w:val="20"/>
                <w:szCs w:val="20"/>
                <w:lang w:eastAsia="en-GB"/>
              </w:rPr>
            </w:pPr>
            <w:r w:rsidRPr="00BC76F9">
              <w:rPr>
                <w:rFonts w:cs="Arial"/>
                <w:color w:val="000000"/>
                <w:sz w:val="20"/>
                <w:szCs w:val="20"/>
                <w:lang w:eastAsia="en-GB"/>
              </w:rPr>
              <w:t>(6,041)</w:t>
            </w:r>
          </w:p>
        </w:tc>
      </w:tr>
      <w:tr w:rsidR="00BC76F9" w:rsidRPr="00BC76F9" w:rsidTr="00BC76F9">
        <w:trPr>
          <w:trHeight w:val="285"/>
        </w:trPr>
        <w:tc>
          <w:tcPr>
            <w:tcW w:w="4860" w:type="dxa"/>
            <w:tcBorders>
              <w:top w:val="nil"/>
              <w:left w:val="nil"/>
              <w:bottom w:val="nil"/>
              <w:right w:val="nil"/>
            </w:tcBorders>
            <w:shd w:val="clear" w:color="000000" w:fill="FFFFFF"/>
            <w:noWrap/>
            <w:vAlign w:val="bottom"/>
            <w:hideMark/>
          </w:tcPr>
          <w:p w:rsidR="00BC76F9" w:rsidRPr="00BC76F9" w:rsidRDefault="00BC76F9" w:rsidP="00BC76F9">
            <w:pPr>
              <w:rPr>
                <w:rFonts w:cs="Arial"/>
                <w:sz w:val="20"/>
                <w:szCs w:val="20"/>
                <w:lang w:eastAsia="en-GB"/>
              </w:rPr>
            </w:pPr>
            <w:r w:rsidRPr="00BC76F9">
              <w:rPr>
                <w:rFonts w:cs="Arial"/>
                <w:sz w:val="20"/>
                <w:szCs w:val="20"/>
                <w:lang w:eastAsia="en-GB"/>
              </w:rPr>
              <w:t>Unusable Reserves</w:t>
            </w:r>
          </w:p>
        </w:tc>
        <w:tc>
          <w:tcPr>
            <w:tcW w:w="1340" w:type="dxa"/>
            <w:tcBorders>
              <w:top w:val="nil"/>
              <w:left w:val="nil"/>
              <w:bottom w:val="nil"/>
              <w:right w:val="nil"/>
            </w:tcBorders>
            <w:shd w:val="clear" w:color="000000" w:fill="FFFF99"/>
            <w:noWrap/>
            <w:vAlign w:val="bottom"/>
            <w:hideMark/>
          </w:tcPr>
          <w:p w:rsidR="00BC76F9" w:rsidRPr="00BC76F9" w:rsidRDefault="00BC76F9" w:rsidP="00BC76F9">
            <w:pPr>
              <w:jc w:val="right"/>
              <w:rPr>
                <w:rFonts w:cs="Arial"/>
                <w:sz w:val="20"/>
                <w:szCs w:val="20"/>
                <w:lang w:eastAsia="en-GB"/>
              </w:rPr>
            </w:pPr>
            <w:r w:rsidRPr="00BC76F9">
              <w:rPr>
                <w:rFonts w:cs="Arial"/>
                <w:sz w:val="20"/>
                <w:szCs w:val="20"/>
                <w:lang w:eastAsia="en-GB"/>
              </w:rPr>
              <w:t>(666,235)</w:t>
            </w:r>
          </w:p>
        </w:tc>
        <w:tc>
          <w:tcPr>
            <w:tcW w:w="1340" w:type="dxa"/>
            <w:tcBorders>
              <w:top w:val="nil"/>
              <w:left w:val="nil"/>
              <w:bottom w:val="nil"/>
              <w:right w:val="nil"/>
            </w:tcBorders>
            <w:shd w:val="clear" w:color="000000" w:fill="BFBFBF"/>
            <w:noWrap/>
            <w:vAlign w:val="bottom"/>
            <w:hideMark/>
          </w:tcPr>
          <w:p w:rsidR="00BC76F9" w:rsidRPr="00BC76F9" w:rsidRDefault="00BC76F9" w:rsidP="00BC76F9">
            <w:pPr>
              <w:jc w:val="right"/>
              <w:rPr>
                <w:rFonts w:cs="Arial"/>
                <w:sz w:val="20"/>
                <w:szCs w:val="20"/>
                <w:lang w:eastAsia="en-GB"/>
              </w:rPr>
            </w:pPr>
            <w:r w:rsidRPr="00BC76F9">
              <w:rPr>
                <w:rFonts w:cs="Arial"/>
                <w:sz w:val="20"/>
                <w:szCs w:val="20"/>
                <w:lang w:eastAsia="en-GB"/>
              </w:rPr>
              <w:t>(730,956)</w:t>
            </w:r>
          </w:p>
        </w:tc>
        <w:tc>
          <w:tcPr>
            <w:tcW w:w="1340" w:type="dxa"/>
            <w:tcBorders>
              <w:top w:val="nil"/>
              <w:left w:val="nil"/>
              <w:bottom w:val="nil"/>
              <w:right w:val="nil"/>
            </w:tcBorders>
            <w:shd w:val="clear" w:color="000000" w:fill="FFFFFF"/>
            <w:noWrap/>
            <w:vAlign w:val="bottom"/>
            <w:hideMark/>
          </w:tcPr>
          <w:p w:rsidR="00BC76F9" w:rsidRPr="00BC76F9" w:rsidRDefault="00BC76F9" w:rsidP="00BC76F9">
            <w:pPr>
              <w:jc w:val="right"/>
              <w:rPr>
                <w:rFonts w:cs="Arial"/>
                <w:color w:val="000000"/>
                <w:sz w:val="20"/>
                <w:szCs w:val="20"/>
                <w:lang w:eastAsia="en-GB"/>
              </w:rPr>
            </w:pPr>
            <w:r w:rsidRPr="00BC76F9">
              <w:rPr>
                <w:rFonts w:cs="Arial"/>
                <w:color w:val="000000"/>
                <w:sz w:val="20"/>
                <w:szCs w:val="20"/>
                <w:lang w:eastAsia="en-GB"/>
              </w:rPr>
              <w:t xml:space="preserve">64,721 </w:t>
            </w:r>
          </w:p>
        </w:tc>
      </w:tr>
      <w:tr w:rsidR="00BC76F9" w:rsidRPr="00BC76F9" w:rsidTr="00BC76F9">
        <w:trPr>
          <w:trHeight w:val="90"/>
        </w:trPr>
        <w:tc>
          <w:tcPr>
            <w:tcW w:w="4860" w:type="dxa"/>
            <w:tcBorders>
              <w:top w:val="nil"/>
              <w:left w:val="nil"/>
              <w:bottom w:val="nil"/>
              <w:right w:val="nil"/>
            </w:tcBorders>
            <w:shd w:val="clear" w:color="000000" w:fill="FFFFFF"/>
            <w:noWrap/>
            <w:vAlign w:val="bottom"/>
            <w:hideMark/>
          </w:tcPr>
          <w:p w:rsidR="00BC76F9" w:rsidRPr="00BC76F9" w:rsidRDefault="00BC76F9" w:rsidP="00BC76F9">
            <w:pPr>
              <w:rPr>
                <w:rFonts w:cs="Arial"/>
                <w:sz w:val="20"/>
                <w:szCs w:val="20"/>
                <w:lang w:eastAsia="en-GB"/>
              </w:rPr>
            </w:pPr>
            <w:r w:rsidRPr="00BC76F9">
              <w:rPr>
                <w:rFonts w:cs="Arial"/>
                <w:sz w:val="20"/>
                <w:szCs w:val="20"/>
                <w:lang w:eastAsia="en-GB"/>
              </w:rPr>
              <w:t> </w:t>
            </w:r>
          </w:p>
        </w:tc>
        <w:tc>
          <w:tcPr>
            <w:tcW w:w="1340" w:type="dxa"/>
            <w:tcBorders>
              <w:top w:val="nil"/>
              <w:left w:val="nil"/>
              <w:bottom w:val="nil"/>
              <w:right w:val="nil"/>
            </w:tcBorders>
            <w:shd w:val="clear" w:color="000000" w:fill="FFFF99"/>
            <w:noWrap/>
            <w:vAlign w:val="bottom"/>
            <w:hideMark/>
          </w:tcPr>
          <w:p w:rsidR="00BC76F9" w:rsidRPr="00BC76F9" w:rsidRDefault="00BC76F9" w:rsidP="00BC76F9">
            <w:pPr>
              <w:rPr>
                <w:rFonts w:cs="Arial"/>
                <w:sz w:val="20"/>
                <w:szCs w:val="20"/>
                <w:lang w:eastAsia="en-GB"/>
              </w:rPr>
            </w:pPr>
            <w:r w:rsidRPr="00BC76F9">
              <w:rPr>
                <w:rFonts w:cs="Arial"/>
                <w:sz w:val="20"/>
                <w:szCs w:val="20"/>
                <w:lang w:eastAsia="en-GB"/>
              </w:rPr>
              <w:t> </w:t>
            </w:r>
          </w:p>
        </w:tc>
        <w:tc>
          <w:tcPr>
            <w:tcW w:w="1340" w:type="dxa"/>
            <w:tcBorders>
              <w:top w:val="nil"/>
              <w:left w:val="nil"/>
              <w:bottom w:val="nil"/>
              <w:right w:val="nil"/>
            </w:tcBorders>
            <w:shd w:val="clear" w:color="000000" w:fill="BFBFBF"/>
            <w:noWrap/>
            <w:vAlign w:val="bottom"/>
            <w:hideMark/>
          </w:tcPr>
          <w:p w:rsidR="00BC76F9" w:rsidRPr="00BC76F9" w:rsidRDefault="00BC76F9" w:rsidP="00BC76F9">
            <w:pPr>
              <w:rPr>
                <w:rFonts w:cs="Arial"/>
                <w:sz w:val="20"/>
                <w:szCs w:val="20"/>
                <w:lang w:eastAsia="en-GB"/>
              </w:rPr>
            </w:pPr>
            <w:r w:rsidRPr="00BC76F9">
              <w:rPr>
                <w:rFonts w:cs="Arial"/>
                <w:sz w:val="20"/>
                <w:szCs w:val="20"/>
                <w:lang w:eastAsia="en-GB"/>
              </w:rPr>
              <w:t> </w:t>
            </w:r>
          </w:p>
        </w:tc>
        <w:tc>
          <w:tcPr>
            <w:tcW w:w="1340" w:type="dxa"/>
            <w:tcBorders>
              <w:top w:val="nil"/>
              <w:left w:val="nil"/>
              <w:bottom w:val="nil"/>
              <w:right w:val="nil"/>
            </w:tcBorders>
            <w:shd w:val="clear" w:color="000000" w:fill="FFFFFF"/>
            <w:noWrap/>
            <w:vAlign w:val="bottom"/>
            <w:hideMark/>
          </w:tcPr>
          <w:p w:rsidR="00BC76F9" w:rsidRPr="00BC76F9" w:rsidRDefault="00BC76F9" w:rsidP="00BC76F9">
            <w:pPr>
              <w:rPr>
                <w:rFonts w:cs="Arial"/>
                <w:color w:val="000000"/>
                <w:sz w:val="22"/>
                <w:szCs w:val="22"/>
                <w:lang w:eastAsia="en-GB"/>
              </w:rPr>
            </w:pPr>
            <w:r w:rsidRPr="00BC76F9">
              <w:rPr>
                <w:rFonts w:cs="Arial"/>
                <w:color w:val="000000"/>
                <w:sz w:val="22"/>
                <w:szCs w:val="22"/>
                <w:lang w:eastAsia="en-GB"/>
              </w:rPr>
              <w:t> </w:t>
            </w:r>
          </w:p>
        </w:tc>
      </w:tr>
      <w:tr w:rsidR="00BC76F9" w:rsidRPr="00BC76F9" w:rsidTr="00BC76F9">
        <w:trPr>
          <w:trHeight w:val="285"/>
        </w:trPr>
        <w:tc>
          <w:tcPr>
            <w:tcW w:w="4860" w:type="dxa"/>
            <w:tcBorders>
              <w:top w:val="nil"/>
              <w:left w:val="nil"/>
              <w:bottom w:val="nil"/>
              <w:right w:val="nil"/>
            </w:tcBorders>
            <w:shd w:val="clear" w:color="000000" w:fill="FFFFFF"/>
            <w:noWrap/>
            <w:vAlign w:val="bottom"/>
            <w:hideMark/>
          </w:tcPr>
          <w:p w:rsidR="00BC76F9" w:rsidRPr="00BC76F9" w:rsidRDefault="00BC76F9" w:rsidP="00BC76F9">
            <w:pPr>
              <w:rPr>
                <w:rFonts w:cs="Arial"/>
                <w:b/>
                <w:bCs/>
                <w:sz w:val="20"/>
                <w:szCs w:val="20"/>
                <w:lang w:eastAsia="en-GB"/>
              </w:rPr>
            </w:pPr>
            <w:r w:rsidRPr="00BC76F9">
              <w:rPr>
                <w:rFonts w:cs="Arial"/>
                <w:b/>
                <w:bCs/>
                <w:sz w:val="20"/>
                <w:szCs w:val="20"/>
                <w:lang w:eastAsia="en-GB"/>
              </w:rPr>
              <w:t>Total Reserves</w:t>
            </w:r>
          </w:p>
        </w:tc>
        <w:tc>
          <w:tcPr>
            <w:tcW w:w="1340" w:type="dxa"/>
            <w:tcBorders>
              <w:top w:val="single" w:sz="4" w:space="0" w:color="auto"/>
              <w:left w:val="nil"/>
              <w:bottom w:val="single" w:sz="4" w:space="0" w:color="auto"/>
              <w:right w:val="nil"/>
            </w:tcBorders>
            <w:shd w:val="clear" w:color="000000" w:fill="FFFF99"/>
            <w:noWrap/>
            <w:vAlign w:val="bottom"/>
            <w:hideMark/>
          </w:tcPr>
          <w:p w:rsidR="00BC76F9" w:rsidRPr="00BC76F9" w:rsidRDefault="00BC76F9" w:rsidP="00BC76F9">
            <w:pPr>
              <w:jc w:val="right"/>
              <w:rPr>
                <w:rFonts w:cs="Arial"/>
                <w:b/>
                <w:bCs/>
                <w:sz w:val="20"/>
                <w:szCs w:val="20"/>
                <w:lang w:eastAsia="en-GB"/>
              </w:rPr>
            </w:pPr>
            <w:r w:rsidRPr="00BC76F9">
              <w:rPr>
                <w:rFonts w:cs="Arial"/>
                <w:b/>
                <w:bCs/>
                <w:sz w:val="20"/>
                <w:szCs w:val="20"/>
                <w:lang w:eastAsia="en-GB"/>
              </w:rPr>
              <w:t>(756,956)</w:t>
            </w:r>
          </w:p>
        </w:tc>
        <w:tc>
          <w:tcPr>
            <w:tcW w:w="1340" w:type="dxa"/>
            <w:tcBorders>
              <w:top w:val="single" w:sz="4" w:space="0" w:color="auto"/>
              <w:left w:val="nil"/>
              <w:bottom w:val="single" w:sz="4" w:space="0" w:color="auto"/>
              <w:right w:val="nil"/>
            </w:tcBorders>
            <w:shd w:val="clear" w:color="000000" w:fill="BFBFBF"/>
            <w:noWrap/>
            <w:vAlign w:val="bottom"/>
            <w:hideMark/>
          </w:tcPr>
          <w:p w:rsidR="00BC76F9" w:rsidRPr="00BC76F9" w:rsidRDefault="00BC76F9" w:rsidP="00BC76F9">
            <w:pPr>
              <w:jc w:val="right"/>
              <w:rPr>
                <w:rFonts w:cs="Arial"/>
                <w:b/>
                <w:bCs/>
                <w:sz w:val="20"/>
                <w:szCs w:val="20"/>
                <w:lang w:eastAsia="en-GB"/>
              </w:rPr>
            </w:pPr>
            <w:r w:rsidRPr="00BC76F9">
              <w:rPr>
                <w:rFonts w:cs="Arial"/>
                <w:b/>
                <w:bCs/>
                <w:sz w:val="20"/>
                <w:szCs w:val="20"/>
                <w:lang w:eastAsia="en-GB"/>
              </w:rPr>
              <w:t>(815,636)</w:t>
            </w:r>
          </w:p>
        </w:tc>
        <w:tc>
          <w:tcPr>
            <w:tcW w:w="1340" w:type="dxa"/>
            <w:tcBorders>
              <w:top w:val="single" w:sz="4" w:space="0" w:color="auto"/>
              <w:left w:val="nil"/>
              <w:bottom w:val="single" w:sz="4" w:space="0" w:color="auto"/>
              <w:right w:val="nil"/>
            </w:tcBorders>
            <w:shd w:val="clear" w:color="000000" w:fill="FFFFFF"/>
            <w:noWrap/>
            <w:vAlign w:val="bottom"/>
            <w:hideMark/>
          </w:tcPr>
          <w:p w:rsidR="00BC76F9" w:rsidRPr="00BC76F9" w:rsidRDefault="00BC76F9" w:rsidP="00BC76F9">
            <w:pPr>
              <w:jc w:val="right"/>
              <w:rPr>
                <w:rFonts w:cs="Arial"/>
                <w:b/>
                <w:bCs/>
                <w:color w:val="000000"/>
                <w:sz w:val="20"/>
                <w:szCs w:val="20"/>
                <w:lang w:eastAsia="en-GB"/>
              </w:rPr>
            </w:pPr>
            <w:r w:rsidRPr="00BC76F9">
              <w:rPr>
                <w:rFonts w:cs="Arial"/>
                <w:b/>
                <w:bCs/>
                <w:color w:val="000000"/>
                <w:sz w:val="20"/>
                <w:szCs w:val="20"/>
                <w:lang w:eastAsia="en-GB"/>
              </w:rPr>
              <w:t xml:space="preserve">58,680 </w:t>
            </w:r>
          </w:p>
        </w:tc>
      </w:tr>
    </w:tbl>
    <w:p w:rsidR="001E5126" w:rsidRDefault="001E5126" w:rsidP="00B73B72">
      <w:pPr>
        <w:ind w:left="426" w:right="43"/>
      </w:pPr>
    </w:p>
    <w:p w:rsidR="00D86A79" w:rsidRDefault="00D86A79" w:rsidP="00B73B72">
      <w:pPr>
        <w:ind w:left="426" w:right="43"/>
      </w:pPr>
    </w:p>
    <w:p w:rsidR="00B66B8B" w:rsidRDefault="00B66B8B" w:rsidP="00B73B72">
      <w:pPr>
        <w:ind w:left="426" w:right="43"/>
      </w:pPr>
    </w:p>
    <w:p w:rsidR="001E5126" w:rsidRPr="00CE2DAC" w:rsidRDefault="0058051A" w:rsidP="00B73B72">
      <w:pPr>
        <w:numPr>
          <w:ilvl w:val="0"/>
          <w:numId w:val="22"/>
        </w:numPr>
        <w:ind w:left="426" w:right="43"/>
      </w:pPr>
      <w:r w:rsidRPr="00CE2DAC">
        <w:t>Useable</w:t>
      </w:r>
      <w:r w:rsidR="001E5126" w:rsidRPr="00CE2DAC">
        <w:t xml:space="preserve"> reserves are detailed above</w:t>
      </w:r>
      <w:r w:rsidRPr="00CE2DAC">
        <w:t xml:space="preserve"> at paragraph </w:t>
      </w:r>
      <w:r w:rsidR="007115AA" w:rsidRPr="00CE2DAC">
        <w:t>2</w:t>
      </w:r>
      <w:r w:rsidR="00CE2DAC" w:rsidRPr="00CE2DAC">
        <w:t>4</w:t>
      </w:r>
      <w:r w:rsidR="001E5126" w:rsidRPr="00CE2DAC">
        <w:t xml:space="preserve"> and more detail of unusable reserves can be found in note 27 on pages 6</w:t>
      </w:r>
      <w:r w:rsidR="00CE2DAC" w:rsidRPr="00CE2DAC">
        <w:t>7 to 71</w:t>
      </w:r>
      <w:r w:rsidR="001E5126" w:rsidRPr="00CE2DAC">
        <w:t>.</w:t>
      </w:r>
    </w:p>
    <w:p w:rsidR="001E5126" w:rsidRDefault="001E5126" w:rsidP="00B73B72">
      <w:pPr>
        <w:ind w:left="426" w:right="43"/>
      </w:pPr>
    </w:p>
    <w:p w:rsidR="00E755EB" w:rsidRDefault="00E755EB" w:rsidP="00B73B72">
      <w:pPr>
        <w:ind w:left="426" w:right="43"/>
        <w:rPr>
          <w:u w:val="single"/>
        </w:rPr>
      </w:pPr>
    </w:p>
    <w:p w:rsidR="001E5126" w:rsidRPr="00E755EB" w:rsidRDefault="001E5126" w:rsidP="00E755EB">
      <w:pPr>
        <w:ind w:left="66" w:right="43"/>
        <w:rPr>
          <w:b/>
          <w:u w:val="single"/>
        </w:rPr>
      </w:pPr>
      <w:r w:rsidRPr="00E755EB">
        <w:rPr>
          <w:b/>
          <w:u w:val="single"/>
        </w:rPr>
        <w:t>Group accounts</w:t>
      </w:r>
    </w:p>
    <w:p w:rsidR="001E5126" w:rsidRDefault="001E5126" w:rsidP="00B73B72">
      <w:pPr>
        <w:ind w:left="426" w:right="43"/>
      </w:pPr>
    </w:p>
    <w:p w:rsidR="001E5126" w:rsidRDefault="001E5126" w:rsidP="00B73B72">
      <w:pPr>
        <w:numPr>
          <w:ilvl w:val="0"/>
          <w:numId w:val="22"/>
        </w:numPr>
        <w:ind w:left="426" w:right="43"/>
      </w:pPr>
      <w:r>
        <w:t xml:space="preserve">The Council owned or had interests in </w:t>
      </w:r>
      <w:r w:rsidR="007115AA">
        <w:t>5</w:t>
      </w:r>
      <w:r>
        <w:t xml:space="preserve"> operational entities as at 31</w:t>
      </w:r>
      <w:r w:rsidRPr="0058051A">
        <w:rPr>
          <w:vertAlign w:val="superscript"/>
        </w:rPr>
        <w:t>st</w:t>
      </w:r>
      <w:r>
        <w:t xml:space="preserve"> March 201</w:t>
      </w:r>
      <w:r w:rsidR="007115AA">
        <w:t>9</w:t>
      </w:r>
      <w:r w:rsidR="0058051A">
        <w:t>:</w:t>
      </w:r>
    </w:p>
    <w:p w:rsidR="001E5126" w:rsidRDefault="00577DA8" w:rsidP="00577DA8">
      <w:pPr>
        <w:pStyle w:val="ListParagraph"/>
        <w:numPr>
          <w:ilvl w:val="0"/>
          <w:numId w:val="23"/>
        </w:numPr>
        <w:ind w:right="43"/>
      </w:pPr>
      <w:r>
        <w:t>Oxford City Housing Limited (OCHL)</w:t>
      </w:r>
    </w:p>
    <w:p w:rsidR="007115AA" w:rsidRDefault="007115AA" w:rsidP="00577DA8">
      <w:pPr>
        <w:pStyle w:val="ListParagraph"/>
        <w:numPr>
          <w:ilvl w:val="0"/>
          <w:numId w:val="23"/>
        </w:numPr>
        <w:ind w:right="43"/>
      </w:pPr>
      <w:r>
        <w:t>Oxford Direct Services Limited (ODSL)</w:t>
      </w:r>
    </w:p>
    <w:p w:rsidR="007115AA" w:rsidRDefault="007115AA" w:rsidP="00577DA8">
      <w:pPr>
        <w:pStyle w:val="ListParagraph"/>
        <w:numPr>
          <w:ilvl w:val="0"/>
          <w:numId w:val="23"/>
        </w:numPr>
        <w:ind w:right="43"/>
      </w:pPr>
      <w:r>
        <w:t>Oxford Direct Services Trading Limited (ODSTL)</w:t>
      </w:r>
    </w:p>
    <w:p w:rsidR="00577DA8" w:rsidRDefault="00577DA8" w:rsidP="00577DA8">
      <w:pPr>
        <w:pStyle w:val="ListParagraph"/>
        <w:numPr>
          <w:ilvl w:val="0"/>
          <w:numId w:val="23"/>
        </w:numPr>
        <w:ind w:right="43"/>
      </w:pPr>
      <w:r>
        <w:t>Oxford West End Development Limited (</w:t>
      </w:r>
      <w:proofErr w:type="spellStart"/>
      <w:r>
        <w:t>OxWED</w:t>
      </w:r>
      <w:proofErr w:type="spellEnd"/>
      <w:r>
        <w:t>)</w:t>
      </w:r>
    </w:p>
    <w:p w:rsidR="00577DA8" w:rsidRDefault="00577DA8" w:rsidP="00577DA8">
      <w:pPr>
        <w:pStyle w:val="ListParagraph"/>
        <w:numPr>
          <w:ilvl w:val="0"/>
          <w:numId w:val="23"/>
        </w:numPr>
        <w:ind w:right="43"/>
      </w:pPr>
      <w:r>
        <w:t>Barton Oxford LLP</w:t>
      </w:r>
    </w:p>
    <w:p w:rsidR="007115AA" w:rsidRDefault="00EC0D23" w:rsidP="007115AA">
      <w:pPr>
        <w:ind w:left="426" w:right="43"/>
      </w:pPr>
      <w:r>
        <w:t>T</w:t>
      </w:r>
      <w:r w:rsidRPr="00EC0D23">
        <w:t xml:space="preserve">wo wholly owned companies became operational on 1st April 2018, Oxford Direct Services Limited and Oxford Direct Services Trading Limited.  These two companies </w:t>
      </w:r>
      <w:r>
        <w:t xml:space="preserve">are </w:t>
      </w:r>
      <w:r w:rsidRPr="00EC0D23">
        <w:t>incorporated into the Council’s Group accounts from 2018/19</w:t>
      </w:r>
      <w:r>
        <w:t xml:space="preserve"> and there are no comparative figures for these for 2017/18 due to the date they became operational.</w:t>
      </w:r>
    </w:p>
    <w:p w:rsidR="00EC0D23" w:rsidRDefault="00EC0D23" w:rsidP="007115AA">
      <w:pPr>
        <w:ind w:left="426" w:right="43"/>
      </w:pPr>
    </w:p>
    <w:p w:rsidR="001E5126" w:rsidRDefault="001E5126" w:rsidP="00B73B72">
      <w:pPr>
        <w:ind w:left="426" w:right="43"/>
      </w:pPr>
      <w:r>
        <w:t>The Council’s share in these entities is shown below:</w:t>
      </w:r>
    </w:p>
    <w:p w:rsidR="00E755EB" w:rsidRDefault="00E755EB" w:rsidP="00B73B72">
      <w:pPr>
        <w:ind w:left="426" w:right="43"/>
        <w:rPr>
          <w:b/>
        </w:rPr>
      </w:pPr>
    </w:p>
    <w:p w:rsidR="00EC0D23" w:rsidRPr="00EC0D23" w:rsidRDefault="00EC0D23" w:rsidP="00B73B72">
      <w:pPr>
        <w:ind w:left="426" w:right="43"/>
        <w:rPr>
          <w:b/>
        </w:rPr>
      </w:pPr>
      <w:r w:rsidRPr="00EC0D23">
        <w:rPr>
          <w:b/>
        </w:rPr>
        <w:t>Wholly Owned</w:t>
      </w:r>
    </w:p>
    <w:p w:rsidR="00B66B8B" w:rsidRDefault="00B66B8B" w:rsidP="00B73B72">
      <w:pPr>
        <w:ind w:left="426" w:right="43"/>
      </w:pPr>
    </w:p>
    <w:p w:rsidR="0058051A" w:rsidRDefault="00011126" w:rsidP="00B73B72">
      <w:pPr>
        <w:ind w:left="426" w:right="43"/>
      </w:pPr>
      <w:r w:rsidRPr="00011126">
        <w:rPr>
          <w:noProof/>
          <w:lang w:eastAsia="en-GB"/>
        </w:rPr>
        <w:drawing>
          <wp:inline distT="0" distB="0" distL="0" distR="0" wp14:anchorId="18911F37" wp14:editId="12673CC7">
            <wp:extent cx="5518150" cy="1993621"/>
            <wp:effectExtent l="0" t="0" r="635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18150" cy="1993621"/>
                    </a:xfrm>
                    <a:prstGeom prst="rect">
                      <a:avLst/>
                    </a:prstGeom>
                    <a:noFill/>
                    <a:ln>
                      <a:noFill/>
                    </a:ln>
                  </pic:spPr>
                </pic:pic>
              </a:graphicData>
            </a:graphic>
          </wp:inline>
        </w:drawing>
      </w:r>
    </w:p>
    <w:p w:rsidR="00011126" w:rsidRDefault="00011126" w:rsidP="00B73B72">
      <w:pPr>
        <w:ind w:left="426" w:right="43"/>
      </w:pPr>
    </w:p>
    <w:p w:rsidR="00E755EB" w:rsidRDefault="00E755EB" w:rsidP="00B73B72">
      <w:pPr>
        <w:ind w:left="426" w:right="43"/>
      </w:pPr>
    </w:p>
    <w:p w:rsidR="00E755EB" w:rsidRDefault="00E755EB" w:rsidP="00B73B72">
      <w:pPr>
        <w:ind w:left="426" w:right="43"/>
      </w:pPr>
    </w:p>
    <w:p w:rsidR="00E755EB" w:rsidRDefault="00E755EB" w:rsidP="00B73B72">
      <w:pPr>
        <w:ind w:left="426" w:right="43"/>
      </w:pPr>
    </w:p>
    <w:p w:rsidR="00E755EB" w:rsidRDefault="00E755EB" w:rsidP="00B73B72">
      <w:pPr>
        <w:ind w:left="426" w:right="43"/>
      </w:pPr>
    </w:p>
    <w:p w:rsidR="00E755EB" w:rsidRDefault="00E755EB" w:rsidP="00B73B72">
      <w:pPr>
        <w:ind w:left="426" w:right="43"/>
      </w:pPr>
    </w:p>
    <w:p w:rsidR="00EC0D23" w:rsidRPr="00CC7363" w:rsidRDefault="00CC7363" w:rsidP="00B73B72">
      <w:pPr>
        <w:ind w:left="426" w:right="43"/>
        <w:rPr>
          <w:b/>
        </w:rPr>
      </w:pPr>
      <w:r w:rsidRPr="00CC7363">
        <w:rPr>
          <w:b/>
        </w:rPr>
        <w:lastRenderedPageBreak/>
        <w:t>Joint Ventures</w:t>
      </w:r>
      <w:r>
        <w:rPr>
          <w:b/>
        </w:rPr>
        <w:t xml:space="preserve"> and Total</w:t>
      </w:r>
    </w:p>
    <w:p w:rsidR="00CC7363" w:rsidRDefault="00CC7363" w:rsidP="00B73B72">
      <w:pPr>
        <w:ind w:left="426" w:right="43"/>
      </w:pPr>
    </w:p>
    <w:p w:rsidR="00D86A79" w:rsidRDefault="00011126" w:rsidP="00B73B72">
      <w:pPr>
        <w:ind w:left="426" w:right="43"/>
      </w:pPr>
      <w:r w:rsidRPr="00011126">
        <w:rPr>
          <w:noProof/>
          <w:lang w:eastAsia="en-GB"/>
        </w:rPr>
        <w:drawing>
          <wp:inline distT="0" distB="0" distL="0" distR="0" wp14:anchorId="1641FB7F" wp14:editId="7C5A02A9">
            <wp:extent cx="5518150" cy="1993621"/>
            <wp:effectExtent l="0" t="0" r="635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18150" cy="1993621"/>
                    </a:xfrm>
                    <a:prstGeom prst="rect">
                      <a:avLst/>
                    </a:prstGeom>
                    <a:noFill/>
                    <a:ln>
                      <a:noFill/>
                    </a:ln>
                  </pic:spPr>
                </pic:pic>
              </a:graphicData>
            </a:graphic>
          </wp:inline>
        </w:drawing>
      </w:r>
    </w:p>
    <w:p w:rsidR="00EC0D23" w:rsidRDefault="00EC0D23" w:rsidP="00B73B72">
      <w:pPr>
        <w:ind w:left="426" w:right="43"/>
      </w:pPr>
    </w:p>
    <w:p w:rsidR="00B66B8B" w:rsidRPr="00CE2DAC" w:rsidRDefault="001E5126" w:rsidP="00B73B72">
      <w:pPr>
        <w:numPr>
          <w:ilvl w:val="0"/>
          <w:numId w:val="22"/>
        </w:numPr>
        <w:ind w:left="426" w:right="43"/>
      </w:pPr>
      <w:r w:rsidRPr="00CE2DAC">
        <w:t>The Council’s share as at 31</w:t>
      </w:r>
      <w:r w:rsidRPr="00CE2DAC">
        <w:rPr>
          <w:vertAlign w:val="superscript"/>
        </w:rPr>
        <w:t>st</w:t>
      </w:r>
      <w:r w:rsidRPr="00CE2DAC">
        <w:t xml:space="preserve"> March 201</w:t>
      </w:r>
      <w:r w:rsidR="007115AA" w:rsidRPr="00CE2DAC">
        <w:t>9</w:t>
      </w:r>
      <w:r w:rsidRPr="00CE2DAC">
        <w:t xml:space="preserve"> was a net </w:t>
      </w:r>
      <w:r w:rsidR="00CE2DAC">
        <w:t>asset</w:t>
      </w:r>
      <w:r w:rsidRPr="00CE2DAC">
        <w:t xml:space="preserve"> of £</w:t>
      </w:r>
      <w:r w:rsidR="00CE2DAC">
        <w:t>0.291</w:t>
      </w:r>
      <w:r w:rsidRPr="00CE2DAC">
        <w:t xml:space="preserve"> million compared to a net </w:t>
      </w:r>
      <w:r w:rsidR="007115AA" w:rsidRPr="00CE2DAC">
        <w:t>liability</w:t>
      </w:r>
      <w:r w:rsidRPr="00CE2DAC">
        <w:t xml:space="preserve"> of £</w:t>
      </w:r>
      <w:r w:rsidR="007115AA" w:rsidRPr="00CE2DAC">
        <w:t>1.339</w:t>
      </w:r>
      <w:r w:rsidRPr="00CE2DAC">
        <w:t xml:space="preserve"> million on 31</w:t>
      </w:r>
      <w:r w:rsidRPr="00CE2DAC">
        <w:rPr>
          <w:vertAlign w:val="superscript"/>
        </w:rPr>
        <w:t>st</w:t>
      </w:r>
      <w:r w:rsidRPr="00CE2DAC">
        <w:t xml:space="preserve"> March 201</w:t>
      </w:r>
      <w:r w:rsidR="007115AA" w:rsidRPr="00CE2DAC">
        <w:t>8</w:t>
      </w:r>
      <w:r w:rsidRPr="00CE2DAC">
        <w:t xml:space="preserve">.  </w:t>
      </w:r>
      <w:r w:rsidR="00CE2DAC">
        <w:t>K</w:t>
      </w:r>
      <w:r w:rsidR="00577DA8" w:rsidRPr="00CE2DAC">
        <w:t>ey element</w:t>
      </w:r>
      <w:r w:rsidR="00CE2DAC">
        <w:t>s</w:t>
      </w:r>
      <w:r w:rsidRPr="00CE2DAC">
        <w:t xml:space="preserve"> of this net </w:t>
      </w:r>
      <w:r w:rsidR="00CE2DAC">
        <w:t>position</w:t>
      </w:r>
      <w:r w:rsidRPr="00CE2DAC">
        <w:t xml:space="preserve"> relates to interest </w:t>
      </w:r>
      <w:r w:rsidR="00577DA8" w:rsidRPr="00CE2DAC">
        <w:t>owing to the Council on loans</w:t>
      </w:r>
      <w:r w:rsidR="00577DA8">
        <w:t xml:space="preserve"> that the Council has made to the entities</w:t>
      </w:r>
      <w:r w:rsidR="00CE2DAC">
        <w:t xml:space="preserve"> and the dividends from the Oxford Direct Services Companies which had not been paid at 31</w:t>
      </w:r>
      <w:r w:rsidR="00CE2DAC" w:rsidRPr="00CE2DAC">
        <w:rPr>
          <w:vertAlign w:val="superscript"/>
        </w:rPr>
        <w:t>st</w:t>
      </w:r>
      <w:r w:rsidR="00CE2DAC">
        <w:t xml:space="preserve"> March 2019</w:t>
      </w:r>
      <w:r w:rsidR="00577DA8">
        <w:t xml:space="preserve">.  </w:t>
      </w:r>
      <w:r>
        <w:t xml:space="preserve">More detail can be found on pages </w:t>
      </w:r>
      <w:r w:rsidR="00CE2DAC" w:rsidRPr="00CE2DAC">
        <w:t>97 to 124</w:t>
      </w:r>
      <w:r w:rsidR="007115AA" w:rsidRPr="00CE2DAC">
        <w:t xml:space="preserve"> of the Statement of Accounts</w:t>
      </w:r>
      <w:r w:rsidRPr="00CE2DAC">
        <w:t>.</w:t>
      </w:r>
    </w:p>
    <w:p w:rsidR="0058051A" w:rsidRDefault="0058051A" w:rsidP="00B73B72">
      <w:pPr>
        <w:ind w:left="426" w:right="43"/>
      </w:pPr>
    </w:p>
    <w:p w:rsidR="00E755EB" w:rsidRDefault="00E755EB" w:rsidP="00B73B72">
      <w:pPr>
        <w:ind w:left="426" w:right="43"/>
      </w:pPr>
    </w:p>
    <w:p w:rsidR="00E755EB" w:rsidRDefault="00E755EB" w:rsidP="00B73B72">
      <w:pPr>
        <w:ind w:left="426" w:right="43"/>
      </w:pPr>
    </w:p>
    <w:p w:rsidR="00274FD7" w:rsidRPr="002D3151" w:rsidRDefault="00274FD7" w:rsidP="00274FD7">
      <w:pPr>
        <w:ind w:right="43"/>
        <w:rPr>
          <w:b/>
        </w:rPr>
      </w:pPr>
      <w:r w:rsidRPr="002D3151">
        <w:rPr>
          <w:b/>
        </w:rPr>
        <w:t>Letter of Representation</w:t>
      </w:r>
    </w:p>
    <w:p w:rsidR="00274FD7" w:rsidRDefault="00274FD7" w:rsidP="002D3151">
      <w:pPr>
        <w:ind w:left="426" w:right="43"/>
      </w:pPr>
    </w:p>
    <w:p w:rsidR="00274FD7" w:rsidRDefault="00274FD7" w:rsidP="00577DA8">
      <w:pPr>
        <w:numPr>
          <w:ilvl w:val="0"/>
          <w:numId w:val="22"/>
        </w:numPr>
        <w:ind w:right="43"/>
      </w:pPr>
      <w:r w:rsidRPr="00274FD7">
        <w:t>Attached at Appendix 2 is a draft Letter of Representation which the Committee is asked to approve. This is a letter from the Council’s Section 151 Officer setting out the processes and procedures the Council adopts to ensure that it is in compliance with its statutory requirements and that it has a sufficiently robust control framework to prevent and detect fraud and irregularities. Ernst and Young require this letter before they issue their opinion.</w:t>
      </w:r>
    </w:p>
    <w:p w:rsidR="00B73B72" w:rsidRDefault="00B73B72" w:rsidP="00B73B72">
      <w:pPr>
        <w:ind w:left="426" w:right="43"/>
      </w:pPr>
    </w:p>
    <w:p w:rsidR="00EE716F" w:rsidRDefault="00EE716F" w:rsidP="008D7861">
      <w:pPr>
        <w:ind w:right="43"/>
        <w:rPr>
          <w:b/>
        </w:rPr>
      </w:pPr>
      <w:r w:rsidRPr="002D3151">
        <w:rPr>
          <w:b/>
        </w:rPr>
        <w:t>Financial Implications</w:t>
      </w:r>
    </w:p>
    <w:p w:rsidR="008D7861" w:rsidRPr="008D7861" w:rsidRDefault="008D7861" w:rsidP="008D7861">
      <w:pPr>
        <w:ind w:right="43"/>
      </w:pPr>
    </w:p>
    <w:p w:rsidR="00EE716F" w:rsidRDefault="00EE716F" w:rsidP="00577DA8">
      <w:pPr>
        <w:numPr>
          <w:ilvl w:val="0"/>
          <w:numId w:val="22"/>
        </w:numPr>
        <w:ind w:right="43"/>
      </w:pPr>
      <w:r w:rsidRPr="00EE716F">
        <w:t>These are covered within the main body of the report.</w:t>
      </w:r>
    </w:p>
    <w:p w:rsidR="00EE716F" w:rsidRDefault="00EE716F" w:rsidP="002D3151">
      <w:pPr>
        <w:ind w:left="426" w:right="43"/>
      </w:pPr>
    </w:p>
    <w:p w:rsidR="00EE716F" w:rsidRDefault="00EE716F" w:rsidP="00EE716F">
      <w:pPr>
        <w:ind w:right="43"/>
        <w:rPr>
          <w:b/>
        </w:rPr>
      </w:pPr>
      <w:r w:rsidRPr="002D3151">
        <w:rPr>
          <w:b/>
        </w:rPr>
        <w:t>Legal Implications</w:t>
      </w:r>
    </w:p>
    <w:p w:rsidR="008D7861" w:rsidRPr="008D7861" w:rsidRDefault="008D7861" w:rsidP="00EE716F">
      <w:pPr>
        <w:ind w:right="43"/>
      </w:pPr>
    </w:p>
    <w:p w:rsidR="00EE716F" w:rsidRDefault="0058051A" w:rsidP="0058051A">
      <w:pPr>
        <w:numPr>
          <w:ilvl w:val="0"/>
          <w:numId w:val="22"/>
        </w:numPr>
        <w:ind w:right="43"/>
      </w:pPr>
      <w:r>
        <w:t xml:space="preserve">In accordance with the </w:t>
      </w:r>
      <w:r w:rsidRPr="0058051A">
        <w:t>Accounts and Audit Regulations 2015</w:t>
      </w:r>
      <w:r>
        <w:t xml:space="preserve"> the accounts must be audited, approved and</w:t>
      </w:r>
      <w:r w:rsidRPr="0058051A">
        <w:t xml:space="preserve"> </w:t>
      </w:r>
      <w:r>
        <w:t>published by 31</w:t>
      </w:r>
      <w:r w:rsidRPr="0058051A">
        <w:rPr>
          <w:vertAlign w:val="superscript"/>
        </w:rPr>
        <w:t>st</w:t>
      </w:r>
      <w:r>
        <w:t xml:space="preserve"> July 201</w:t>
      </w:r>
      <w:r w:rsidR="00EC0D23">
        <w:t>9</w:t>
      </w:r>
      <w:r w:rsidR="00EE716F" w:rsidRPr="00EE716F">
        <w:t>.</w:t>
      </w:r>
    </w:p>
    <w:p w:rsidR="00EE716F" w:rsidRDefault="00EE716F" w:rsidP="002D3151">
      <w:pPr>
        <w:ind w:left="426" w:right="43"/>
      </w:pPr>
    </w:p>
    <w:p w:rsidR="00EE716F" w:rsidRDefault="00EE716F" w:rsidP="00EE716F">
      <w:pPr>
        <w:ind w:right="43"/>
        <w:rPr>
          <w:b/>
        </w:rPr>
      </w:pPr>
      <w:r>
        <w:rPr>
          <w:b/>
        </w:rPr>
        <w:t>Risk</w:t>
      </w:r>
      <w:r w:rsidRPr="00722A59">
        <w:rPr>
          <w:b/>
        </w:rPr>
        <w:t xml:space="preserve"> Implications</w:t>
      </w:r>
    </w:p>
    <w:p w:rsidR="008D7861" w:rsidRPr="008D7861" w:rsidRDefault="008D7861" w:rsidP="00EE716F">
      <w:pPr>
        <w:ind w:right="43"/>
      </w:pPr>
    </w:p>
    <w:p w:rsidR="00EE716F" w:rsidRDefault="00EE716F" w:rsidP="00577DA8">
      <w:pPr>
        <w:numPr>
          <w:ilvl w:val="0"/>
          <w:numId w:val="22"/>
        </w:numPr>
        <w:ind w:right="43"/>
      </w:pPr>
      <w:r w:rsidRPr="00EE716F">
        <w:t>There are no risks associated with the recommendations in this report</w:t>
      </w:r>
      <w:r w:rsidR="0058051A">
        <w:t>.</w:t>
      </w:r>
    </w:p>
    <w:p w:rsidR="00EE716F" w:rsidRDefault="00EE716F" w:rsidP="002D3151">
      <w:pPr>
        <w:ind w:left="426" w:right="43"/>
      </w:pPr>
    </w:p>
    <w:p w:rsidR="00EE716F" w:rsidRDefault="00EE716F" w:rsidP="008D7861">
      <w:pPr>
        <w:ind w:right="43"/>
        <w:rPr>
          <w:b/>
        </w:rPr>
      </w:pPr>
      <w:r w:rsidRPr="002D3151">
        <w:rPr>
          <w:b/>
        </w:rPr>
        <w:t>Communication</w:t>
      </w:r>
    </w:p>
    <w:p w:rsidR="008D7861" w:rsidRPr="008D7861" w:rsidRDefault="008D7861" w:rsidP="008D7861">
      <w:pPr>
        <w:ind w:right="43"/>
      </w:pPr>
    </w:p>
    <w:p w:rsidR="00B73B72" w:rsidRDefault="00B73B72" w:rsidP="00577DA8">
      <w:pPr>
        <w:numPr>
          <w:ilvl w:val="0"/>
          <w:numId w:val="22"/>
        </w:numPr>
        <w:ind w:right="43"/>
      </w:pPr>
      <w:r>
        <w:t xml:space="preserve">The Council’s accounts </w:t>
      </w:r>
      <w:r w:rsidR="0058051A">
        <w:t xml:space="preserve">were </w:t>
      </w:r>
      <w:r>
        <w:t>subject to external audit by Ernst &amp; Young LLP</w:t>
      </w:r>
      <w:r w:rsidR="0058051A">
        <w:t xml:space="preserve"> and within the period of audit, f</w:t>
      </w:r>
      <w:r>
        <w:t xml:space="preserve">rom Monday </w:t>
      </w:r>
      <w:r w:rsidR="00EC0D23">
        <w:t>3</w:t>
      </w:r>
      <w:r w:rsidR="00EC0D23" w:rsidRPr="00EC0D23">
        <w:rPr>
          <w:vertAlign w:val="superscript"/>
        </w:rPr>
        <w:t>rd</w:t>
      </w:r>
      <w:r w:rsidR="00EC0D23">
        <w:t xml:space="preserve"> J</w:t>
      </w:r>
      <w:r>
        <w:t>une 201</w:t>
      </w:r>
      <w:r w:rsidR="00EC0D23">
        <w:t>9</w:t>
      </w:r>
      <w:r>
        <w:t xml:space="preserve"> to Friday </w:t>
      </w:r>
      <w:r w:rsidR="00EC0D23">
        <w:t>12</w:t>
      </w:r>
      <w:r w:rsidR="00EC0D23" w:rsidRPr="00EC0D23">
        <w:rPr>
          <w:vertAlign w:val="superscript"/>
        </w:rPr>
        <w:t>th</w:t>
      </w:r>
      <w:r w:rsidR="00EC0D23">
        <w:t xml:space="preserve"> </w:t>
      </w:r>
      <w:r w:rsidR="0058051A">
        <w:t xml:space="preserve"> </w:t>
      </w:r>
      <w:r>
        <w:t>July 201</w:t>
      </w:r>
      <w:r w:rsidR="00EC0D23">
        <w:t>9</w:t>
      </w:r>
      <w:r>
        <w:t xml:space="preserve"> between 9.30am and</w:t>
      </w:r>
      <w:r w:rsidR="0058051A">
        <w:t xml:space="preserve"> </w:t>
      </w:r>
      <w:r>
        <w:t>4.30pm any person may inspect the accounts of the Council for the year</w:t>
      </w:r>
      <w:r w:rsidR="0058051A">
        <w:t xml:space="preserve"> </w:t>
      </w:r>
      <w:r>
        <w:t>ended 31</w:t>
      </w:r>
      <w:r w:rsidRPr="00EC0D23">
        <w:rPr>
          <w:vertAlign w:val="superscript"/>
        </w:rPr>
        <w:t>st</w:t>
      </w:r>
      <w:r w:rsidR="00EC0D23">
        <w:t xml:space="preserve"> </w:t>
      </w:r>
      <w:r>
        <w:t>March 201</w:t>
      </w:r>
      <w:r w:rsidR="00EC0D23">
        <w:t>9</w:t>
      </w:r>
      <w:r>
        <w:t xml:space="preserve"> and certain related documents (comprising </w:t>
      </w:r>
      <w:r>
        <w:lastRenderedPageBreak/>
        <w:t>books,</w:t>
      </w:r>
      <w:r w:rsidR="0058051A">
        <w:t xml:space="preserve"> </w:t>
      </w:r>
      <w:r>
        <w:t>deeds, contracts</w:t>
      </w:r>
      <w:r w:rsidR="0058051A">
        <w:t xml:space="preserve">, bills, vouchers and receipts).  </w:t>
      </w:r>
      <w:r>
        <w:t>They may also make copies of the accounts and documents.</w:t>
      </w:r>
    </w:p>
    <w:p w:rsidR="0058051A" w:rsidRDefault="0058051A" w:rsidP="0058051A">
      <w:pPr>
        <w:ind w:left="360" w:right="43"/>
      </w:pPr>
    </w:p>
    <w:p w:rsidR="00B73B72" w:rsidRDefault="00B73B72" w:rsidP="00577DA8">
      <w:pPr>
        <w:numPr>
          <w:ilvl w:val="0"/>
          <w:numId w:val="22"/>
        </w:numPr>
        <w:ind w:right="43"/>
      </w:pPr>
      <w:r>
        <w:t xml:space="preserve">During the </w:t>
      </w:r>
      <w:r w:rsidR="0058051A">
        <w:t xml:space="preserve">same </w:t>
      </w:r>
      <w:r>
        <w:t xml:space="preserve">period a local government elector for the area of the </w:t>
      </w:r>
      <w:r w:rsidR="0058051A">
        <w:t>C</w:t>
      </w:r>
      <w:r>
        <w:t>ouncil</w:t>
      </w:r>
      <w:r w:rsidR="0058051A">
        <w:t xml:space="preserve"> </w:t>
      </w:r>
      <w:r>
        <w:t>or their representative may make an appointment to ask the auditor questions</w:t>
      </w:r>
      <w:r w:rsidR="0058051A">
        <w:t xml:space="preserve"> </w:t>
      </w:r>
      <w:r>
        <w:t>about the accounts.</w:t>
      </w:r>
      <w:r w:rsidR="0058051A">
        <w:t xml:space="preserve">  In addition they </w:t>
      </w:r>
      <w:r>
        <w:t>may object to the Council’s accounts</w:t>
      </w:r>
      <w:r w:rsidR="008D7861">
        <w:t>,</w:t>
      </w:r>
      <w:r>
        <w:t xml:space="preserve"> asking that the auditor</w:t>
      </w:r>
      <w:r w:rsidR="008D7861">
        <w:t xml:space="preserve"> </w:t>
      </w:r>
      <w:r>
        <w:t>issue a report in the public interest or which is contrary to law (under section</w:t>
      </w:r>
      <w:r w:rsidR="008D7861">
        <w:t xml:space="preserve"> </w:t>
      </w:r>
      <w:r>
        <w:t>28 of the Local Audit and Accountability Act 2014). Written notice of a</w:t>
      </w:r>
      <w:r w:rsidR="008D7861">
        <w:t xml:space="preserve"> </w:t>
      </w:r>
      <w:r>
        <w:t>proposed objection and the grounds on which it is made must be sent to the</w:t>
      </w:r>
      <w:r w:rsidR="008D7861">
        <w:t xml:space="preserve"> </w:t>
      </w:r>
      <w:r>
        <w:t xml:space="preserve">auditor at the address </w:t>
      </w:r>
      <w:r w:rsidR="008D7861">
        <w:t>provided on the Council’s website</w:t>
      </w:r>
      <w:r>
        <w:t>.</w:t>
      </w:r>
    </w:p>
    <w:p w:rsidR="008D7861" w:rsidRDefault="008D7861" w:rsidP="008D7861">
      <w:pPr>
        <w:ind w:left="360" w:right="43"/>
      </w:pPr>
    </w:p>
    <w:p w:rsidR="008D7861" w:rsidRDefault="008D7861" w:rsidP="00577DA8">
      <w:pPr>
        <w:numPr>
          <w:ilvl w:val="0"/>
          <w:numId w:val="22"/>
        </w:numPr>
        <w:ind w:right="43"/>
      </w:pPr>
      <w:r>
        <w:t>There were no objections lodged.</w:t>
      </w:r>
    </w:p>
    <w:p w:rsidR="00B73B72" w:rsidRDefault="00B73B72" w:rsidP="00B73B72">
      <w:pPr>
        <w:ind w:left="360" w:right="43"/>
      </w:pPr>
    </w:p>
    <w:p w:rsidR="00EE716F" w:rsidRDefault="00EE716F" w:rsidP="00577DA8">
      <w:pPr>
        <w:numPr>
          <w:ilvl w:val="0"/>
          <w:numId w:val="22"/>
        </w:numPr>
        <w:ind w:right="43"/>
      </w:pPr>
      <w:r>
        <w:t>The Audited Statement of Accounts for 201</w:t>
      </w:r>
      <w:r w:rsidR="00EC0D23">
        <w:t>8</w:t>
      </w:r>
      <w:r>
        <w:t>/1</w:t>
      </w:r>
      <w:r w:rsidR="00EC0D23">
        <w:t>9</w:t>
      </w:r>
      <w:r>
        <w:t xml:space="preserve"> will be published on the Council’s website </w:t>
      </w:r>
      <w:r w:rsidR="008D7861">
        <w:t xml:space="preserve">after approval </w:t>
      </w:r>
      <w:r>
        <w:t>along with a notice confirming the conclusion of the audit</w:t>
      </w:r>
      <w:r w:rsidR="008D7861">
        <w:t xml:space="preserve"> and alongside the Annual Governance Statement for the year</w:t>
      </w:r>
      <w:r>
        <w:t>.</w:t>
      </w:r>
    </w:p>
    <w:p w:rsidR="00E755EB" w:rsidRDefault="00E755EB" w:rsidP="00E755EB">
      <w:pPr>
        <w:pStyle w:val="ListParagraph"/>
      </w:pPr>
    </w:p>
    <w:p w:rsidR="00E755EB" w:rsidRDefault="00E755EB" w:rsidP="00E755EB">
      <w:pPr>
        <w:ind w:right="43"/>
      </w:pPr>
    </w:p>
    <w:p w:rsidR="005C2AE5" w:rsidRDefault="005C2AE5" w:rsidP="00547E28">
      <w:pPr>
        <w:ind w:right="43"/>
      </w:pPr>
    </w:p>
    <w:tbl>
      <w:tblPr>
        <w:tblW w:w="966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64"/>
      </w:tblGrid>
      <w:tr w:rsidR="00766105" w:rsidTr="00195171">
        <w:trPr>
          <w:trHeight w:val="270"/>
        </w:trPr>
        <w:tc>
          <w:tcPr>
            <w:tcW w:w="9664" w:type="dxa"/>
          </w:tcPr>
          <w:p w:rsidR="00766105" w:rsidRDefault="00766105" w:rsidP="00195171">
            <w:pPr>
              <w:tabs>
                <w:tab w:val="left" w:pos="720"/>
                <w:tab w:val="left" w:pos="1440"/>
                <w:tab w:val="left" w:pos="2160"/>
                <w:tab w:val="left" w:pos="2880"/>
              </w:tabs>
            </w:pPr>
            <w:r>
              <w:rPr>
                <w:b/>
                <w:bCs/>
              </w:rPr>
              <w:t>Name and contact details of author:-</w:t>
            </w:r>
          </w:p>
        </w:tc>
      </w:tr>
      <w:tr w:rsidR="00766105" w:rsidTr="00195171">
        <w:trPr>
          <w:trHeight w:val="285"/>
        </w:trPr>
        <w:tc>
          <w:tcPr>
            <w:tcW w:w="9664" w:type="dxa"/>
          </w:tcPr>
          <w:p w:rsidR="00766105" w:rsidRDefault="00766105" w:rsidP="00EE716F">
            <w:pPr>
              <w:tabs>
                <w:tab w:val="left" w:pos="720"/>
                <w:tab w:val="left" w:pos="1440"/>
                <w:tab w:val="left" w:pos="2160"/>
                <w:tab w:val="left" w:pos="2880"/>
              </w:tabs>
            </w:pPr>
            <w:r>
              <w:t xml:space="preserve">Name:  </w:t>
            </w:r>
            <w:r w:rsidR="00EE716F">
              <w:t>Bill Lewis</w:t>
            </w:r>
          </w:p>
        </w:tc>
      </w:tr>
      <w:tr w:rsidR="00766105" w:rsidTr="00195171">
        <w:trPr>
          <w:trHeight w:val="270"/>
        </w:trPr>
        <w:tc>
          <w:tcPr>
            <w:tcW w:w="9664" w:type="dxa"/>
          </w:tcPr>
          <w:p w:rsidR="00766105" w:rsidRDefault="00766105" w:rsidP="00EE716F">
            <w:pPr>
              <w:tabs>
                <w:tab w:val="left" w:pos="720"/>
                <w:tab w:val="left" w:pos="1440"/>
                <w:tab w:val="left" w:pos="2160"/>
                <w:tab w:val="left" w:pos="2880"/>
              </w:tabs>
            </w:pPr>
            <w:r>
              <w:t>Job title:  Financ</w:t>
            </w:r>
            <w:r w:rsidR="00B3340C">
              <w:t xml:space="preserve">ial </w:t>
            </w:r>
            <w:r w:rsidR="00EE716F">
              <w:t>Accounting Manager</w:t>
            </w:r>
          </w:p>
        </w:tc>
      </w:tr>
      <w:tr w:rsidR="00766105" w:rsidTr="00195171">
        <w:trPr>
          <w:trHeight w:val="270"/>
        </w:trPr>
        <w:tc>
          <w:tcPr>
            <w:tcW w:w="9664" w:type="dxa"/>
          </w:tcPr>
          <w:p w:rsidR="00766105" w:rsidRDefault="00766105" w:rsidP="00B3340C">
            <w:pPr>
              <w:tabs>
                <w:tab w:val="left" w:pos="720"/>
                <w:tab w:val="left" w:pos="1440"/>
                <w:tab w:val="left" w:pos="2160"/>
                <w:tab w:val="left" w:pos="2880"/>
              </w:tabs>
            </w:pPr>
            <w:r>
              <w:t>Service Area / Department:  Financ</w:t>
            </w:r>
            <w:r w:rsidR="00B3340C">
              <w:t>ial Services</w:t>
            </w:r>
            <w:r>
              <w:t xml:space="preserve">, </w:t>
            </w:r>
          </w:p>
        </w:tc>
      </w:tr>
      <w:tr w:rsidR="00766105" w:rsidRPr="00B7705C" w:rsidTr="00195171">
        <w:trPr>
          <w:trHeight w:val="570"/>
        </w:trPr>
        <w:tc>
          <w:tcPr>
            <w:tcW w:w="9664" w:type="dxa"/>
          </w:tcPr>
          <w:p w:rsidR="00766105" w:rsidRPr="00B7705C" w:rsidRDefault="00766105" w:rsidP="00EE716F">
            <w:pPr>
              <w:tabs>
                <w:tab w:val="left" w:pos="720"/>
                <w:tab w:val="left" w:pos="1440"/>
                <w:tab w:val="left" w:pos="2160"/>
                <w:tab w:val="left" w:pos="2880"/>
              </w:tabs>
              <w:rPr>
                <w:color w:val="0000FF"/>
                <w:u w:val="single"/>
                <w:lang w:val="de-DE"/>
              </w:rPr>
            </w:pPr>
            <w:r w:rsidRPr="00B7705C">
              <w:rPr>
                <w:lang w:val="de-DE"/>
              </w:rPr>
              <w:t xml:space="preserve">Tel:  01865 </w:t>
            </w:r>
            <w:r w:rsidR="00EE716F" w:rsidRPr="00B7705C">
              <w:rPr>
                <w:lang w:val="de-DE"/>
              </w:rPr>
              <w:t>252</w:t>
            </w:r>
            <w:r w:rsidR="00EE716F">
              <w:rPr>
                <w:lang w:val="de-DE"/>
              </w:rPr>
              <w:t>607</w:t>
            </w:r>
            <w:r w:rsidR="00EE716F" w:rsidRPr="00B7705C">
              <w:rPr>
                <w:lang w:val="de-DE"/>
              </w:rPr>
              <w:t xml:space="preserve">  </w:t>
            </w:r>
            <w:r w:rsidRPr="00B7705C">
              <w:rPr>
                <w:lang w:val="de-DE"/>
              </w:rPr>
              <w:t xml:space="preserve">e-mail:  </w:t>
            </w:r>
            <w:hyperlink r:id="rId13" w:history="1">
              <w:r w:rsidR="00EE716F">
                <w:rPr>
                  <w:rStyle w:val="Hyperlink"/>
                  <w:lang w:val="de-DE"/>
                </w:rPr>
                <w:t>blewis@oxford.gov.uk</w:t>
              </w:r>
            </w:hyperlink>
          </w:p>
        </w:tc>
      </w:tr>
    </w:tbl>
    <w:p w:rsidR="00766105" w:rsidRPr="00B7705C" w:rsidRDefault="00766105" w:rsidP="00766105">
      <w:pPr>
        <w:rPr>
          <w:rFonts w:cs="Arial"/>
          <w:b/>
          <w:bCs/>
          <w:sz w:val="20"/>
          <w:lang w:val="de-DE"/>
        </w:rPr>
      </w:pPr>
    </w:p>
    <w:p w:rsidR="00840506" w:rsidRDefault="00840506" w:rsidP="00547E28">
      <w:pPr>
        <w:ind w:right="43"/>
      </w:pPr>
    </w:p>
    <w:p w:rsidR="00766105" w:rsidRDefault="00766105" w:rsidP="00547E28">
      <w:pPr>
        <w:ind w:right="43"/>
      </w:pPr>
    </w:p>
    <w:p w:rsidR="00766105" w:rsidRDefault="00766105" w:rsidP="00547E28">
      <w:pPr>
        <w:ind w:right="43"/>
      </w:pPr>
    </w:p>
    <w:p w:rsidR="00840506" w:rsidRDefault="00840506" w:rsidP="00547E28">
      <w:pPr>
        <w:ind w:right="43"/>
        <w:rPr>
          <w:b/>
          <w:bCs/>
        </w:rPr>
      </w:pPr>
      <w:r>
        <w:rPr>
          <w:b/>
          <w:bCs/>
        </w:rPr>
        <w:t xml:space="preserve">Background papers: </w:t>
      </w:r>
      <w:r w:rsidR="00766105">
        <w:rPr>
          <w:b/>
          <w:bCs/>
        </w:rPr>
        <w:t>None</w:t>
      </w:r>
    </w:p>
    <w:p w:rsidR="00840506" w:rsidRDefault="00840506" w:rsidP="00547E28">
      <w:pPr>
        <w:ind w:right="43"/>
        <w:rPr>
          <w:b/>
          <w:bCs/>
        </w:rPr>
      </w:pPr>
    </w:p>
    <w:p w:rsidR="00840506" w:rsidRDefault="00840506" w:rsidP="00547E28">
      <w:pPr>
        <w:ind w:right="43"/>
        <w:rPr>
          <w:b/>
          <w:bCs/>
        </w:rPr>
      </w:pPr>
      <w:bookmarkStart w:id="0" w:name="_GoBack"/>
      <w:bookmarkEnd w:id="0"/>
    </w:p>
    <w:sectPr w:rsidR="00840506" w:rsidSect="00E755EB">
      <w:footerReference w:type="default" r:id="rId14"/>
      <w:pgSz w:w="11906" w:h="16838"/>
      <w:pgMar w:top="1304" w:right="1304" w:bottom="1304" w:left="1304" w:header="708" w:footer="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881" w:rsidRDefault="00B65881">
      <w:r>
        <w:separator/>
      </w:r>
    </w:p>
  </w:endnote>
  <w:endnote w:type="continuationSeparator" w:id="0">
    <w:p w:rsidR="00B65881" w:rsidRDefault="00B65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506" w:rsidRDefault="00840506">
    <w:pPr>
      <w:rPr>
        <w:sz w:val="20"/>
      </w:rPr>
    </w:pPr>
  </w:p>
  <w:p w:rsidR="00840506" w:rsidRDefault="008405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881" w:rsidRDefault="00B65881">
      <w:r>
        <w:separator/>
      </w:r>
    </w:p>
  </w:footnote>
  <w:footnote w:type="continuationSeparator" w:id="0">
    <w:p w:rsidR="00B65881" w:rsidRDefault="00B658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7E4E"/>
    <w:multiLevelType w:val="hybridMultilevel"/>
    <w:tmpl w:val="AEB49BAA"/>
    <w:lvl w:ilvl="0" w:tplc="38C07FEA">
      <w:start w:val="7"/>
      <w:numFmt w:val="decimal"/>
      <w:lvlText w:val="%1"/>
      <w:lvlJc w:val="left"/>
      <w:pPr>
        <w:ind w:left="-207" w:hanging="360"/>
      </w:pPr>
      <w:rPr>
        <w:rFonts w:cs="Arial" w:hint="default"/>
        <w:b w:val="0"/>
        <w:color w:val="000000"/>
        <w:u w:val="none"/>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
    <w:nsid w:val="038C30BB"/>
    <w:multiLevelType w:val="multilevel"/>
    <w:tmpl w:val="E67CE66C"/>
    <w:styleLink w:val="StyleNumberedLeft0cmHanging075cm"/>
    <w:lvl w:ilvl="0">
      <w:start w:val="1"/>
      <w:numFmt w:val="decimal"/>
      <w:lvlText w:val="%1."/>
      <w:lvlJc w:val="left"/>
      <w:pPr>
        <w:ind w:left="644"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6187B77"/>
    <w:multiLevelType w:val="hybridMultilevel"/>
    <w:tmpl w:val="9C087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FD53FC"/>
    <w:multiLevelType w:val="hybridMultilevel"/>
    <w:tmpl w:val="68FE3FFC"/>
    <w:lvl w:ilvl="0" w:tplc="4B86A730">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72D79B1"/>
    <w:multiLevelType w:val="hybridMultilevel"/>
    <w:tmpl w:val="591ABA54"/>
    <w:lvl w:ilvl="0" w:tplc="C2CC92EC">
      <w:start w:val="1"/>
      <w:numFmt w:val="decimal"/>
      <w:lvlText w:val="%1"/>
      <w:lvlJc w:val="left"/>
      <w:pPr>
        <w:ind w:left="1080" w:hanging="72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8F259F4"/>
    <w:multiLevelType w:val="hybridMultilevel"/>
    <w:tmpl w:val="61CA1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B57368E"/>
    <w:multiLevelType w:val="hybridMultilevel"/>
    <w:tmpl w:val="680E6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C457705"/>
    <w:multiLevelType w:val="hybridMultilevel"/>
    <w:tmpl w:val="1DE08A10"/>
    <w:lvl w:ilvl="0" w:tplc="0809000F">
      <w:start w:val="1"/>
      <w:numFmt w:val="decimal"/>
      <w:lvlText w:val="%1."/>
      <w:lvlJc w:val="left"/>
      <w:pPr>
        <w:ind w:left="360" w:hanging="360"/>
      </w:pPr>
      <w:rPr>
        <w:rFonts w:hint="default"/>
      </w:rPr>
    </w:lvl>
    <w:lvl w:ilvl="1" w:tplc="D8D03F9C">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0CD453AD"/>
    <w:multiLevelType w:val="hybridMultilevel"/>
    <w:tmpl w:val="BFC68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8BA3D7B"/>
    <w:multiLevelType w:val="hybridMultilevel"/>
    <w:tmpl w:val="4862611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nsid w:val="251541BB"/>
    <w:multiLevelType w:val="hybridMultilevel"/>
    <w:tmpl w:val="3926E6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6FC4FFC"/>
    <w:multiLevelType w:val="hybridMultilevel"/>
    <w:tmpl w:val="7B38B052"/>
    <w:lvl w:ilvl="0" w:tplc="744CFF6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9E6243"/>
    <w:multiLevelType w:val="hybridMultilevel"/>
    <w:tmpl w:val="4D9486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DCB7D3F"/>
    <w:multiLevelType w:val="hybridMultilevel"/>
    <w:tmpl w:val="47144C1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nsid w:val="48FE77A8"/>
    <w:multiLevelType w:val="hybridMultilevel"/>
    <w:tmpl w:val="2D4ABDC8"/>
    <w:lvl w:ilvl="0" w:tplc="44862956">
      <w:start w:val="1"/>
      <w:numFmt w:val="bullet"/>
      <w:lvlText w:val=""/>
      <w:lvlJc w:val="left"/>
      <w:pPr>
        <w:ind w:left="1080" w:hanging="360"/>
      </w:pPr>
      <w:rPr>
        <w:rFonts w:ascii="Symbol" w:eastAsia="Times New Roman" w:hAnsi="Symbol" w:cs="Times New Roman"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4E7237D1"/>
    <w:multiLevelType w:val="hybridMultilevel"/>
    <w:tmpl w:val="FE9063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5AAE7C65"/>
    <w:multiLevelType w:val="hybridMultilevel"/>
    <w:tmpl w:val="D07CBB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B146AB9"/>
    <w:multiLevelType w:val="hybridMultilevel"/>
    <w:tmpl w:val="D468443A"/>
    <w:lvl w:ilvl="0" w:tplc="0809000F">
      <w:start w:val="1"/>
      <w:numFmt w:val="decimal"/>
      <w:lvlText w:val="%1."/>
      <w:lvlJc w:val="left"/>
      <w:pPr>
        <w:ind w:left="360" w:hanging="360"/>
      </w:pPr>
      <w:rPr>
        <w:rFonts w:hint="default"/>
      </w:rPr>
    </w:lvl>
    <w:lvl w:ilvl="1" w:tplc="D8D03F9C">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5BC302C5"/>
    <w:multiLevelType w:val="hybridMultilevel"/>
    <w:tmpl w:val="A1246028"/>
    <w:lvl w:ilvl="0" w:tplc="C7082A22">
      <w:start w:val="1"/>
      <w:numFmt w:val="bullet"/>
      <w:lvlText w:val=""/>
      <w:lvlJc w:val="left"/>
      <w:pPr>
        <w:ind w:left="926" w:hanging="360"/>
      </w:pPr>
      <w:rPr>
        <w:rFonts w:ascii="Symbol" w:eastAsia="Times New Roman" w:hAnsi="Symbol" w:cs="Times New Roman" w:hint="default"/>
      </w:rPr>
    </w:lvl>
    <w:lvl w:ilvl="1" w:tplc="08090003" w:tentative="1">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19">
    <w:nsid w:val="5CE21961"/>
    <w:multiLevelType w:val="hybridMultilevel"/>
    <w:tmpl w:val="A8E4D8D2"/>
    <w:lvl w:ilvl="0" w:tplc="08090019">
      <w:start w:val="1"/>
      <w:numFmt w:val="lowerLetter"/>
      <w:lvlText w:val="%1."/>
      <w:lvlJc w:val="left"/>
      <w:pPr>
        <w:ind w:left="1146" w:hanging="360"/>
      </w:pPr>
    </w:lvl>
    <w:lvl w:ilvl="1" w:tplc="08090019">
      <w:start w:val="1"/>
      <w:numFmt w:val="lowerLetter"/>
      <w:lvlText w:val="%2."/>
      <w:lvlJc w:val="left"/>
      <w:pPr>
        <w:ind w:left="1866" w:hanging="360"/>
      </w:pPr>
    </w:lvl>
    <w:lvl w:ilvl="2" w:tplc="0809001B">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0">
    <w:nsid w:val="625D44DC"/>
    <w:multiLevelType w:val="multilevel"/>
    <w:tmpl w:val="F170141E"/>
    <w:lvl w:ilvl="0">
      <w:start w:val="1"/>
      <w:numFmt w:val="bullet"/>
      <w:lvlText w:val=""/>
      <w:lvlJc w:val="left"/>
      <w:pPr>
        <w:ind w:left="1286" w:hanging="360"/>
      </w:pPr>
      <w:rPr>
        <w:rFonts w:ascii="Symbol" w:hAnsi="Symbol" w:hint="default"/>
        <w:color w:val="000000"/>
        <w:sz w:val="24"/>
      </w:rPr>
    </w:lvl>
    <w:lvl w:ilvl="1">
      <w:start w:val="1"/>
      <w:numFmt w:val="lowerLetter"/>
      <w:lvlText w:val="%2."/>
      <w:lvlJc w:val="left"/>
      <w:pPr>
        <w:ind w:left="2006" w:hanging="360"/>
      </w:pPr>
    </w:lvl>
    <w:lvl w:ilvl="2">
      <w:start w:val="1"/>
      <w:numFmt w:val="lowerRoman"/>
      <w:lvlText w:val="%3."/>
      <w:lvlJc w:val="right"/>
      <w:pPr>
        <w:ind w:left="2726" w:hanging="180"/>
      </w:pPr>
    </w:lvl>
    <w:lvl w:ilvl="3">
      <w:start w:val="1"/>
      <w:numFmt w:val="decimal"/>
      <w:lvlText w:val="%4."/>
      <w:lvlJc w:val="left"/>
      <w:pPr>
        <w:ind w:left="3446" w:hanging="360"/>
      </w:pPr>
    </w:lvl>
    <w:lvl w:ilvl="4">
      <w:start w:val="1"/>
      <w:numFmt w:val="lowerLetter"/>
      <w:lvlText w:val="%5."/>
      <w:lvlJc w:val="left"/>
      <w:pPr>
        <w:ind w:left="4166" w:hanging="360"/>
      </w:pPr>
    </w:lvl>
    <w:lvl w:ilvl="5">
      <w:start w:val="1"/>
      <w:numFmt w:val="lowerRoman"/>
      <w:lvlText w:val="%6."/>
      <w:lvlJc w:val="right"/>
      <w:pPr>
        <w:ind w:left="4886" w:hanging="180"/>
      </w:pPr>
    </w:lvl>
    <w:lvl w:ilvl="6">
      <w:start w:val="1"/>
      <w:numFmt w:val="decimal"/>
      <w:lvlText w:val="%7."/>
      <w:lvlJc w:val="left"/>
      <w:pPr>
        <w:ind w:left="5606" w:hanging="360"/>
      </w:pPr>
    </w:lvl>
    <w:lvl w:ilvl="7">
      <w:start w:val="1"/>
      <w:numFmt w:val="lowerLetter"/>
      <w:lvlText w:val="%8."/>
      <w:lvlJc w:val="left"/>
      <w:pPr>
        <w:ind w:left="6326" w:hanging="360"/>
      </w:pPr>
    </w:lvl>
    <w:lvl w:ilvl="8">
      <w:start w:val="1"/>
      <w:numFmt w:val="lowerRoman"/>
      <w:lvlText w:val="%9."/>
      <w:lvlJc w:val="right"/>
      <w:pPr>
        <w:ind w:left="7046" w:hanging="180"/>
      </w:pPr>
    </w:lvl>
  </w:abstractNum>
  <w:abstractNum w:abstractNumId="21">
    <w:nsid w:val="63B272D4"/>
    <w:multiLevelType w:val="hybridMultilevel"/>
    <w:tmpl w:val="130AE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CB703E7"/>
    <w:multiLevelType w:val="hybridMultilevel"/>
    <w:tmpl w:val="C41A9E1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98365C6"/>
    <w:multiLevelType w:val="multilevel"/>
    <w:tmpl w:val="E67CE66C"/>
    <w:lvl w:ilvl="0">
      <w:start w:val="1"/>
      <w:numFmt w:val="decimal"/>
      <w:lvlText w:val="%1."/>
      <w:lvlJc w:val="left"/>
      <w:pPr>
        <w:ind w:left="644"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7BDB51BD"/>
    <w:multiLevelType w:val="hybridMultilevel"/>
    <w:tmpl w:val="1376E9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E2C42F4"/>
    <w:multiLevelType w:val="hybridMultilevel"/>
    <w:tmpl w:val="6FFEFB0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nsid w:val="7FB76AA9"/>
    <w:multiLevelType w:val="hybridMultilevel"/>
    <w:tmpl w:val="56044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18"/>
  </w:num>
  <w:num w:numId="4">
    <w:abstractNumId w:val="5"/>
  </w:num>
  <w:num w:numId="5">
    <w:abstractNumId w:val="2"/>
  </w:num>
  <w:num w:numId="6">
    <w:abstractNumId w:val="26"/>
  </w:num>
  <w:num w:numId="7">
    <w:abstractNumId w:val="4"/>
  </w:num>
  <w:num w:numId="8">
    <w:abstractNumId w:val="22"/>
  </w:num>
  <w:num w:numId="9">
    <w:abstractNumId w:val="25"/>
  </w:num>
  <w:num w:numId="10">
    <w:abstractNumId w:val="1"/>
  </w:num>
  <w:num w:numId="11">
    <w:abstractNumId w:val="20"/>
  </w:num>
  <w:num w:numId="12">
    <w:abstractNumId w:val="3"/>
  </w:num>
  <w:num w:numId="13">
    <w:abstractNumId w:val="11"/>
  </w:num>
  <w:num w:numId="14">
    <w:abstractNumId w:val="0"/>
  </w:num>
  <w:num w:numId="15">
    <w:abstractNumId w:val="24"/>
  </w:num>
  <w:num w:numId="16">
    <w:abstractNumId w:val="6"/>
  </w:num>
  <w:num w:numId="17">
    <w:abstractNumId w:val="8"/>
  </w:num>
  <w:num w:numId="18">
    <w:abstractNumId w:val="21"/>
  </w:num>
  <w:num w:numId="19">
    <w:abstractNumId w:val="15"/>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9"/>
  </w:num>
  <w:num w:numId="24">
    <w:abstractNumId w:val="10"/>
  </w:num>
  <w:num w:numId="25">
    <w:abstractNumId w:val="12"/>
  </w:num>
  <w:num w:numId="26">
    <w:abstractNumId w:val="19"/>
  </w:num>
  <w:num w:numId="27">
    <w:abstractNumId w:val="13"/>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004"/>
    <w:rsid w:val="00003E37"/>
    <w:rsid w:val="00011126"/>
    <w:rsid w:val="00012F12"/>
    <w:rsid w:val="0003557F"/>
    <w:rsid w:val="000908C5"/>
    <w:rsid w:val="000A75F8"/>
    <w:rsid w:val="000B503C"/>
    <w:rsid w:val="000B7741"/>
    <w:rsid w:val="000C1C4A"/>
    <w:rsid w:val="000C5E7A"/>
    <w:rsid w:val="000C7804"/>
    <w:rsid w:val="000D130C"/>
    <w:rsid w:val="000F677D"/>
    <w:rsid w:val="000F778C"/>
    <w:rsid w:val="00113E5A"/>
    <w:rsid w:val="00114F4C"/>
    <w:rsid w:val="00146F94"/>
    <w:rsid w:val="00147D12"/>
    <w:rsid w:val="00151FAF"/>
    <w:rsid w:val="0016359E"/>
    <w:rsid w:val="001713E2"/>
    <w:rsid w:val="0017425D"/>
    <w:rsid w:val="00195171"/>
    <w:rsid w:val="00195539"/>
    <w:rsid w:val="001B6BF2"/>
    <w:rsid w:val="001C106F"/>
    <w:rsid w:val="001D4AC5"/>
    <w:rsid w:val="001E5126"/>
    <w:rsid w:val="001F3014"/>
    <w:rsid w:val="001F4093"/>
    <w:rsid w:val="002161FE"/>
    <w:rsid w:val="00221E0B"/>
    <w:rsid w:val="00224CB5"/>
    <w:rsid w:val="002365D7"/>
    <w:rsid w:val="00247667"/>
    <w:rsid w:val="0026136A"/>
    <w:rsid w:val="00274FD7"/>
    <w:rsid w:val="00283440"/>
    <w:rsid w:val="0028507C"/>
    <w:rsid w:val="00287106"/>
    <w:rsid w:val="002B42F4"/>
    <w:rsid w:val="002D3151"/>
    <w:rsid w:val="002D6242"/>
    <w:rsid w:val="002F0832"/>
    <w:rsid w:val="003333C5"/>
    <w:rsid w:val="00347A14"/>
    <w:rsid w:val="0036191E"/>
    <w:rsid w:val="003665D7"/>
    <w:rsid w:val="00397536"/>
    <w:rsid w:val="003B33C6"/>
    <w:rsid w:val="003B3DB6"/>
    <w:rsid w:val="004156E9"/>
    <w:rsid w:val="00430524"/>
    <w:rsid w:val="0043384C"/>
    <w:rsid w:val="00461768"/>
    <w:rsid w:val="0049232A"/>
    <w:rsid w:val="004A7887"/>
    <w:rsid w:val="004B3176"/>
    <w:rsid w:val="004B7F0D"/>
    <w:rsid w:val="004C5734"/>
    <w:rsid w:val="004C75CE"/>
    <w:rsid w:val="004D2A4F"/>
    <w:rsid w:val="004E55D3"/>
    <w:rsid w:val="004F660F"/>
    <w:rsid w:val="004F788C"/>
    <w:rsid w:val="00510F8C"/>
    <w:rsid w:val="00515E27"/>
    <w:rsid w:val="00531D49"/>
    <w:rsid w:val="00547E28"/>
    <w:rsid w:val="00551F80"/>
    <w:rsid w:val="00555768"/>
    <w:rsid w:val="005713C5"/>
    <w:rsid w:val="00577A67"/>
    <w:rsid w:val="00577DA8"/>
    <w:rsid w:val="0058051A"/>
    <w:rsid w:val="00591FFF"/>
    <w:rsid w:val="005A0252"/>
    <w:rsid w:val="005B79F2"/>
    <w:rsid w:val="005C2AE5"/>
    <w:rsid w:val="005C2E58"/>
    <w:rsid w:val="005F18F5"/>
    <w:rsid w:val="00600C50"/>
    <w:rsid w:val="00601FFA"/>
    <w:rsid w:val="00606569"/>
    <w:rsid w:val="006203A2"/>
    <w:rsid w:val="00625E90"/>
    <w:rsid w:val="006277D2"/>
    <w:rsid w:val="006524F5"/>
    <w:rsid w:val="00657174"/>
    <w:rsid w:val="00661440"/>
    <w:rsid w:val="00662F16"/>
    <w:rsid w:val="006729BC"/>
    <w:rsid w:val="006819BE"/>
    <w:rsid w:val="006A5C71"/>
    <w:rsid w:val="006B5122"/>
    <w:rsid w:val="006B55B2"/>
    <w:rsid w:val="006C2498"/>
    <w:rsid w:val="007078AF"/>
    <w:rsid w:val="007108C1"/>
    <w:rsid w:val="007115AA"/>
    <w:rsid w:val="00713B88"/>
    <w:rsid w:val="00714BE1"/>
    <w:rsid w:val="007212CF"/>
    <w:rsid w:val="00723DD9"/>
    <w:rsid w:val="0073686B"/>
    <w:rsid w:val="0074235B"/>
    <w:rsid w:val="00766105"/>
    <w:rsid w:val="00766D93"/>
    <w:rsid w:val="00773F30"/>
    <w:rsid w:val="007B5D59"/>
    <w:rsid w:val="007E1F79"/>
    <w:rsid w:val="007E37A4"/>
    <w:rsid w:val="00802776"/>
    <w:rsid w:val="00811784"/>
    <w:rsid w:val="00820341"/>
    <w:rsid w:val="008219EE"/>
    <w:rsid w:val="00840506"/>
    <w:rsid w:val="008443D8"/>
    <w:rsid w:val="00847B61"/>
    <w:rsid w:val="00852A3F"/>
    <w:rsid w:val="0087093E"/>
    <w:rsid w:val="00887C41"/>
    <w:rsid w:val="00892763"/>
    <w:rsid w:val="008A255D"/>
    <w:rsid w:val="008B5623"/>
    <w:rsid w:val="008B75C4"/>
    <w:rsid w:val="008C1B38"/>
    <w:rsid w:val="008D7861"/>
    <w:rsid w:val="00906CAA"/>
    <w:rsid w:val="00925DD2"/>
    <w:rsid w:val="009433C8"/>
    <w:rsid w:val="00952D90"/>
    <w:rsid w:val="0096032D"/>
    <w:rsid w:val="00961F54"/>
    <w:rsid w:val="00963732"/>
    <w:rsid w:val="00980FB3"/>
    <w:rsid w:val="00991A3B"/>
    <w:rsid w:val="00993EA2"/>
    <w:rsid w:val="009A377A"/>
    <w:rsid w:val="009A6741"/>
    <w:rsid w:val="009C57C7"/>
    <w:rsid w:val="009C6ED7"/>
    <w:rsid w:val="009D3161"/>
    <w:rsid w:val="00A30B26"/>
    <w:rsid w:val="00A3243C"/>
    <w:rsid w:val="00A35173"/>
    <w:rsid w:val="00A414C5"/>
    <w:rsid w:val="00A531CB"/>
    <w:rsid w:val="00A57DD2"/>
    <w:rsid w:val="00A8021B"/>
    <w:rsid w:val="00A81EC9"/>
    <w:rsid w:val="00A85499"/>
    <w:rsid w:val="00A926D6"/>
    <w:rsid w:val="00AF04EA"/>
    <w:rsid w:val="00AF5EEC"/>
    <w:rsid w:val="00B17F2F"/>
    <w:rsid w:val="00B3290D"/>
    <w:rsid w:val="00B32C49"/>
    <w:rsid w:val="00B3340C"/>
    <w:rsid w:val="00B65881"/>
    <w:rsid w:val="00B66B8B"/>
    <w:rsid w:val="00B72136"/>
    <w:rsid w:val="00B72C71"/>
    <w:rsid w:val="00B73B72"/>
    <w:rsid w:val="00B94823"/>
    <w:rsid w:val="00BC3532"/>
    <w:rsid w:val="00BC76F9"/>
    <w:rsid w:val="00BF5938"/>
    <w:rsid w:val="00C0496C"/>
    <w:rsid w:val="00C069BF"/>
    <w:rsid w:val="00C22B92"/>
    <w:rsid w:val="00C25998"/>
    <w:rsid w:val="00C55292"/>
    <w:rsid w:val="00C56616"/>
    <w:rsid w:val="00C82B3B"/>
    <w:rsid w:val="00CC7363"/>
    <w:rsid w:val="00CE2DAC"/>
    <w:rsid w:val="00D0687B"/>
    <w:rsid w:val="00D3786E"/>
    <w:rsid w:val="00D47023"/>
    <w:rsid w:val="00D512B9"/>
    <w:rsid w:val="00D57BF3"/>
    <w:rsid w:val="00D8556D"/>
    <w:rsid w:val="00D86A79"/>
    <w:rsid w:val="00D964B7"/>
    <w:rsid w:val="00DA61D1"/>
    <w:rsid w:val="00DC4421"/>
    <w:rsid w:val="00DE5328"/>
    <w:rsid w:val="00DF3727"/>
    <w:rsid w:val="00E20881"/>
    <w:rsid w:val="00E23D50"/>
    <w:rsid w:val="00E36B94"/>
    <w:rsid w:val="00E37B28"/>
    <w:rsid w:val="00E50EC0"/>
    <w:rsid w:val="00E60879"/>
    <w:rsid w:val="00E755EB"/>
    <w:rsid w:val="00E85125"/>
    <w:rsid w:val="00E9300B"/>
    <w:rsid w:val="00E932F0"/>
    <w:rsid w:val="00E97004"/>
    <w:rsid w:val="00EA0C77"/>
    <w:rsid w:val="00EC0D23"/>
    <w:rsid w:val="00EC0E57"/>
    <w:rsid w:val="00EC1C35"/>
    <w:rsid w:val="00EC48D3"/>
    <w:rsid w:val="00EC605D"/>
    <w:rsid w:val="00ED5904"/>
    <w:rsid w:val="00EE716F"/>
    <w:rsid w:val="00EF37E9"/>
    <w:rsid w:val="00EF3DAD"/>
    <w:rsid w:val="00F16E82"/>
    <w:rsid w:val="00F602A3"/>
    <w:rsid w:val="00F97D6A"/>
    <w:rsid w:val="00FC1F2E"/>
    <w:rsid w:val="00FC4B7E"/>
    <w:rsid w:val="00FD4982"/>
    <w:rsid w:val="00FE1F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emiHidden/>
  </w:style>
  <w:style w:type="paragraph" w:styleId="ListParagraph">
    <w:name w:val="List Paragraph"/>
    <w:basedOn w:val="Normal"/>
    <w:link w:val="ListParagraphChar"/>
    <w:uiPriority w:val="34"/>
    <w:qFormat/>
    <w:rsid w:val="009A377A"/>
    <w:pPr>
      <w:ind w:left="720"/>
    </w:pPr>
  </w:style>
  <w:style w:type="character" w:styleId="Hyperlink">
    <w:name w:val="Hyperlink"/>
    <w:rsid w:val="00766105"/>
    <w:rPr>
      <w:color w:val="0000FF"/>
      <w:u w:val="single"/>
    </w:rPr>
  </w:style>
  <w:style w:type="character" w:customStyle="1" w:styleId="ListParagraphChar">
    <w:name w:val="List Paragraph Char"/>
    <w:link w:val="ListParagraph"/>
    <w:uiPriority w:val="34"/>
    <w:rsid w:val="008B5623"/>
    <w:rPr>
      <w:rFonts w:ascii="Arial" w:hAnsi="Arial"/>
      <w:sz w:val="24"/>
      <w:szCs w:val="24"/>
      <w:lang w:eastAsia="en-US"/>
    </w:rPr>
  </w:style>
  <w:style w:type="numbering" w:customStyle="1" w:styleId="StyleNumberedLeft0cmHanging075cm">
    <w:name w:val="Style Numbered Left:  0 cm Hanging:  0.75 cm"/>
    <w:basedOn w:val="NoList"/>
    <w:rsid w:val="008B5623"/>
    <w:pPr>
      <w:numPr>
        <w:numId w:val="10"/>
      </w:numPr>
    </w:pPr>
  </w:style>
  <w:style w:type="table" w:styleId="TableGrid">
    <w:name w:val="Table Grid"/>
    <w:basedOn w:val="TableNormal"/>
    <w:uiPriority w:val="59"/>
    <w:rsid w:val="00555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emiHidden/>
  </w:style>
  <w:style w:type="paragraph" w:styleId="ListParagraph">
    <w:name w:val="List Paragraph"/>
    <w:basedOn w:val="Normal"/>
    <w:link w:val="ListParagraphChar"/>
    <w:uiPriority w:val="34"/>
    <w:qFormat/>
    <w:rsid w:val="009A377A"/>
    <w:pPr>
      <w:ind w:left="720"/>
    </w:pPr>
  </w:style>
  <w:style w:type="character" w:styleId="Hyperlink">
    <w:name w:val="Hyperlink"/>
    <w:rsid w:val="00766105"/>
    <w:rPr>
      <w:color w:val="0000FF"/>
      <w:u w:val="single"/>
    </w:rPr>
  </w:style>
  <w:style w:type="character" w:customStyle="1" w:styleId="ListParagraphChar">
    <w:name w:val="List Paragraph Char"/>
    <w:link w:val="ListParagraph"/>
    <w:uiPriority w:val="34"/>
    <w:rsid w:val="008B5623"/>
    <w:rPr>
      <w:rFonts w:ascii="Arial" w:hAnsi="Arial"/>
      <w:sz w:val="24"/>
      <w:szCs w:val="24"/>
      <w:lang w:eastAsia="en-US"/>
    </w:rPr>
  </w:style>
  <w:style w:type="numbering" w:customStyle="1" w:styleId="StyleNumberedLeft0cmHanging075cm">
    <w:name w:val="Style Numbered Left:  0 cm Hanging:  0.75 cm"/>
    <w:basedOn w:val="NoList"/>
    <w:rsid w:val="008B5623"/>
    <w:pPr>
      <w:numPr>
        <w:numId w:val="10"/>
      </w:numPr>
    </w:pPr>
  </w:style>
  <w:style w:type="table" w:styleId="TableGrid">
    <w:name w:val="Table Grid"/>
    <w:basedOn w:val="TableNormal"/>
    <w:uiPriority w:val="59"/>
    <w:rsid w:val="00555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600561">
      <w:bodyDiv w:val="1"/>
      <w:marLeft w:val="0"/>
      <w:marRight w:val="0"/>
      <w:marTop w:val="0"/>
      <w:marBottom w:val="0"/>
      <w:divBdr>
        <w:top w:val="none" w:sz="0" w:space="0" w:color="auto"/>
        <w:left w:val="none" w:sz="0" w:space="0" w:color="auto"/>
        <w:bottom w:val="none" w:sz="0" w:space="0" w:color="auto"/>
        <w:right w:val="none" w:sz="0" w:space="0" w:color="auto"/>
      </w:divBdr>
    </w:div>
    <w:div w:id="1881435755">
      <w:bodyDiv w:val="1"/>
      <w:marLeft w:val="0"/>
      <w:marRight w:val="0"/>
      <w:marTop w:val="0"/>
      <w:marBottom w:val="0"/>
      <w:divBdr>
        <w:top w:val="none" w:sz="0" w:space="0" w:color="auto"/>
        <w:left w:val="none" w:sz="0" w:space="0" w:color="auto"/>
        <w:bottom w:val="none" w:sz="0" w:space="0" w:color="auto"/>
        <w:right w:val="none" w:sz="0" w:space="0" w:color="auto"/>
      </w:divBdr>
    </w:div>
    <w:div w:id="202389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kennedy@oxford.gov.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CE0FE-A3F6-4EA4-B6A0-385F8375B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75ED37F9</Template>
  <TotalTime>2</TotalTime>
  <Pages>8</Pages>
  <Words>2502</Words>
  <Characters>13085</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15556</CharactersWithSpaces>
  <SharedDoc>false</SharedDoc>
  <HLinks>
    <vt:vector size="6" baseType="variant">
      <vt:variant>
        <vt:i4>3407943</vt:i4>
      </vt:variant>
      <vt:variant>
        <vt:i4>0</vt:i4>
      </vt:variant>
      <vt:variant>
        <vt:i4>0</vt:i4>
      </vt:variant>
      <vt:variant>
        <vt:i4>5</vt:i4>
      </vt:variant>
      <vt:variant>
        <vt:lpwstr>mailto:nkennedy@oxford.gov.uk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jthompson</cp:lastModifiedBy>
  <cp:revision>4</cp:revision>
  <cp:lastPrinted>2008-06-11T13:21:00Z</cp:lastPrinted>
  <dcterms:created xsi:type="dcterms:W3CDTF">2019-07-19T15:23:00Z</dcterms:created>
  <dcterms:modified xsi:type="dcterms:W3CDTF">2019-07-19T17:03:00Z</dcterms:modified>
</cp:coreProperties>
</file>